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362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黄祖钦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中专文化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建瓯市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 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0783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刑初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黄祖钦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诈骗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罪，判处有期徒刑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八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个月，并处罚金人民币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五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；责令十一名被告人及相关责任人共同退赔人民币2432319元，返还各被害人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被告人不服，提出上诉。福建省南平市中级人民法院于2020年4月20日作出（2020）闽07刑终10号刑事裁定：驳回上诉，维持原判。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判决发生法律效力后，于202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日交付福建省武夷山监狱执行（刑期自20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日起至2026年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日止）。福建省南平市中级人民法院于202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234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号刑事裁定，对其减去有期徒刑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三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；又于2024年1月25日作出（2024）闽07刑更6号刑事裁定，对其减去有期徒刑四个月。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裁定书送达时间2024年1月25日（现刑期自20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106.9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10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1939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2045.9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1473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该犯原判财产性判项已履行人民币11076.35元，法院执行公安暂扣款150000元 ，其中本次提请通过监狱转账代缴罚金2000元。该犯考核期消费总额人民币3454.75元。月均消费人民币191.93元，账户可用余额人民币236.32元。福建省建瓯市人民法院于2025年1月24日出具的财产性判项的复函体现：执行过程中扣划黄祖钦银行存款4776.35元，公安暂扣款150000元，共执行到位154776.35元。未发现其它可供执行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黄祖钦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黄祖钦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08F0BD2"/>
    <w:rsid w:val="010C7CCE"/>
    <w:rsid w:val="01F30842"/>
    <w:rsid w:val="02304E24"/>
    <w:rsid w:val="02DE36A5"/>
    <w:rsid w:val="032204ED"/>
    <w:rsid w:val="04937F50"/>
    <w:rsid w:val="04A11703"/>
    <w:rsid w:val="051A41B3"/>
    <w:rsid w:val="0553482E"/>
    <w:rsid w:val="07DF3D76"/>
    <w:rsid w:val="08F62769"/>
    <w:rsid w:val="09276AE9"/>
    <w:rsid w:val="09D176E0"/>
    <w:rsid w:val="0A1B0F82"/>
    <w:rsid w:val="0A6D2FC8"/>
    <w:rsid w:val="0A6F1B02"/>
    <w:rsid w:val="0ACF7421"/>
    <w:rsid w:val="0B15237D"/>
    <w:rsid w:val="0B396004"/>
    <w:rsid w:val="0BEC4628"/>
    <w:rsid w:val="0C341AED"/>
    <w:rsid w:val="0D741820"/>
    <w:rsid w:val="0E106384"/>
    <w:rsid w:val="0EA12B90"/>
    <w:rsid w:val="0EA55D13"/>
    <w:rsid w:val="0F160D1B"/>
    <w:rsid w:val="0FA7463C"/>
    <w:rsid w:val="10B34DFB"/>
    <w:rsid w:val="10DD4846"/>
    <w:rsid w:val="112B4E01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5F70C20"/>
    <w:rsid w:val="162F5EEB"/>
    <w:rsid w:val="173B7F2B"/>
    <w:rsid w:val="196C36C2"/>
    <w:rsid w:val="19801949"/>
    <w:rsid w:val="1A2D6639"/>
    <w:rsid w:val="1AAA72CC"/>
    <w:rsid w:val="1BF62CFE"/>
    <w:rsid w:val="1CE3322C"/>
    <w:rsid w:val="1CFD498F"/>
    <w:rsid w:val="1DD75846"/>
    <w:rsid w:val="1E0F4722"/>
    <w:rsid w:val="1F1A74D9"/>
    <w:rsid w:val="201715B2"/>
    <w:rsid w:val="22371F9E"/>
    <w:rsid w:val="227E6445"/>
    <w:rsid w:val="23CE2152"/>
    <w:rsid w:val="24954CF0"/>
    <w:rsid w:val="24ED0EA4"/>
    <w:rsid w:val="26094903"/>
    <w:rsid w:val="26FA2AFF"/>
    <w:rsid w:val="27703DC3"/>
    <w:rsid w:val="27A9199E"/>
    <w:rsid w:val="27A935A3"/>
    <w:rsid w:val="27A944DF"/>
    <w:rsid w:val="28205A1B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6C12ED"/>
    <w:rsid w:val="2CBA2062"/>
    <w:rsid w:val="2CFD78EF"/>
    <w:rsid w:val="2D262005"/>
    <w:rsid w:val="2D8930AF"/>
    <w:rsid w:val="2DC70BD5"/>
    <w:rsid w:val="2DFC3DAA"/>
    <w:rsid w:val="2FA761FD"/>
    <w:rsid w:val="303F1941"/>
    <w:rsid w:val="30617EF5"/>
    <w:rsid w:val="30961B60"/>
    <w:rsid w:val="312715EC"/>
    <w:rsid w:val="312A7AF3"/>
    <w:rsid w:val="317D4778"/>
    <w:rsid w:val="32100F5E"/>
    <w:rsid w:val="32996935"/>
    <w:rsid w:val="3305631F"/>
    <w:rsid w:val="333B229A"/>
    <w:rsid w:val="345B76C9"/>
    <w:rsid w:val="347D5502"/>
    <w:rsid w:val="34E4375D"/>
    <w:rsid w:val="34E51361"/>
    <w:rsid w:val="3507588C"/>
    <w:rsid w:val="354B2EA3"/>
    <w:rsid w:val="35DB4D34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DE8304D"/>
    <w:rsid w:val="3E236DA8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AFC1DC5"/>
    <w:rsid w:val="4B41375A"/>
    <w:rsid w:val="4C09761B"/>
    <w:rsid w:val="4CF077D9"/>
    <w:rsid w:val="4D2F7D19"/>
    <w:rsid w:val="4D4F5284"/>
    <w:rsid w:val="4D7B6FBE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7A2457E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0CF4FA3"/>
    <w:rsid w:val="61B240A6"/>
    <w:rsid w:val="62CD7EA4"/>
    <w:rsid w:val="6377585B"/>
    <w:rsid w:val="63C251F2"/>
    <w:rsid w:val="647372DB"/>
    <w:rsid w:val="65095E9E"/>
    <w:rsid w:val="654E0B55"/>
    <w:rsid w:val="65993E24"/>
    <w:rsid w:val="66A049D6"/>
    <w:rsid w:val="6770579D"/>
    <w:rsid w:val="68D43AF1"/>
    <w:rsid w:val="68F7278E"/>
    <w:rsid w:val="6946467D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442D48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2025-06-25T01:01:36Z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0B2754B8BD06407092A9C8193B76CDB2</vt:lpwstr>
  </property>
</Properties>
</file>