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after="0" w:line="430" w:lineRule="exact"/>
        <w:ind w:left="640" w:right="320"/>
        <w:jc w:val="right"/>
        <w:rPr>
          <w:rFonts w:ascii="仿宋_GB2312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〔2025〕闽武狱减字第372号</w:t>
      </w:r>
    </w:p>
    <w:p>
      <w:pPr>
        <w:widowControl w:val="0"/>
        <w:spacing w:after="0"/>
        <w:ind w:firstLine="640" w:firstLineChars="200"/>
        <w:jc w:val="both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林辉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1991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中专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文化，捕前系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公司业务部组长。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现在福建省武夷山监狱二监区五分监区服刑。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福建省福州市鼓楼区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闽0102刑初630号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林辉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诈骗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八年六个月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并处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十万元；犯非法经营罪，判处有期徒刑九个月，并处罚金人民币三万元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数罪并罚后执行有期徒刑九年，并处罚金人民币十三万元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责令被告人林辉退还被害人王海荣人民币126.476万元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武夷山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2030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7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日止）。现属普管级罪犯。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</w:t>
      </w:r>
      <w:r>
        <w:rPr>
          <w:rFonts w:ascii="仿宋_GB2312" w:hAnsi="宋体" w:eastAsia="仿宋_GB2312" w:cs="仿宋_GB2312"/>
          <w:iCs/>
          <w:sz w:val="32"/>
          <w:szCs w:val="32"/>
        </w:rPr>
        <w:t>自入监以来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确有</w:t>
      </w:r>
      <w:r>
        <w:rPr>
          <w:rFonts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表现，具体事实如下：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/>
          <w:iCs/>
          <w:kern w:val="2"/>
        </w:rPr>
      </w:pPr>
      <w:r>
        <w:rPr>
          <w:rFonts w:ascii="仿宋_GB2312" w:hAnsi="仿宋" w:cs="仿宋_GB2312"/>
          <w:iCs/>
          <w:kern w:val="2"/>
        </w:rPr>
        <w:t>认罪悔罪：能服从法院判决，自书认罪悔罪书。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 w:cs="仿宋_GB2312"/>
        </w:rPr>
      </w:pPr>
      <w:r>
        <w:rPr>
          <w:rFonts w:ascii="仿宋_GB2312" w:hAnsi="仿宋" w:cs="仿宋_GB2312"/>
        </w:rPr>
        <w:t>遵守监规：在服刑期间，虽有违规行为，经民警教育，能认识错误，继续安心改造，规范行为，能遵守法律法规及监规纪律，接受教育改造</w:t>
      </w:r>
      <w:r>
        <w:rPr>
          <w:rFonts w:hint="eastAsia" w:ascii="仿宋_GB2312" w:hAnsi="仿宋" w:cs="仿宋_GB2312"/>
        </w:rPr>
        <w:t>。</w:t>
      </w:r>
    </w:p>
    <w:p>
      <w:pPr>
        <w:pStyle w:val="9"/>
        <w:autoSpaceDE w:val="0"/>
        <w:autoSpaceDN w:val="0"/>
        <w:spacing w:line="430" w:lineRule="exact"/>
        <w:ind w:left="640" w:firstLine="0" w:firstLineChars="0"/>
        <w:rPr>
          <w:rFonts w:ascii="仿宋_GB2312" w:hAnsi="仿宋" w:cs="宋体"/>
        </w:rPr>
      </w:pPr>
      <w:r>
        <w:rPr>
          <w:rFonts w:ascii="仿宋_GB2312" w:hAnsi="仿宋" w:cs="仿宋_GB2312"/>
        </w:rPr>
        <w:t>学习情况：能参加思想、文化、职业技术教育。</w:t>
      </w:r>
    </w:p>
    <w:p>
      <w:pPr>
        <w:pStyle w:val="9"/>
        <w:spacing w:line="430" w:lineRule="exact"/>
        <w:ind w:firstLine="640"/>
        <w:rPr>
          <w:rFonts w:ascii="仿宋_GB2312" w:hAnsi="仿宋" w:cs="仿宋_GB2312"/>
        </w:rPr>
      </w:pPr>
      <w:r>
        <w:rPr>
          <w:rFonts w:ascii="仿宋_GB2312" w:hAnsi="仿宋" w:cs="仿宋_GB2312"/>
        </w:rPr>
        <w:t>劳动改造：能参加劳动，努力完成劳动任务。</w:t>
      </w:r>
    </w:p>
    <w:p>
      <w:pPr>
        <w:pStyle w:val="9"/>
        <w:spacing w:line="430" w:lineRule="exact"/>
        <w:ind w:firstLine="640"/>
        <w:rPr>
          <w:rFonts w:ascii="仿宋_GB2312" w:cs="仿宋_GB2312"/>
          <w:bCs/>
          <w:color w:val="auto"/>
        </w:rPr>
      </w:pPr>
      <w:r>
        <w:rPr>
          <w:rFonts w:ascii="仿宋_GB2312" w:cs="仿宋_GB2312"/>
          <w:bCs/>
        </w:rPr>
        <w:t>奖惩情况</w:t>
      </w:r>
      <w:r>
        <w:rPr>
          <w:rFonts w:ascii="仿宋_GB2312" w:cs="仿宋_GB2312"/>
          <w:bCs/>
          <w:color w:val="auto"/>
        </w:rPr>
        <w:t>：该犯考核期</w:t>
      </w:r>
      <w:r>
        <w:rPr>
          <w:rFonts w:hint="eastAsia" w:ascii="仿宋_GB2312" w:cs="仿宋_GB2312"/>
          <w:color w:val="auto"/>
        </w:rPr>
        <w:t>2022</w:t>
      </w:r>
      <w:r>
        <w:rPr>
          <w:rFonts w:ascii="仿宋_GB2312" w:cs="仿宋_GB2312"/>
          <w:color w:val="auto"/>
        </w:rPr>
        <w:t>年</w:t>
      </w:r>
      <w:r>
        <w:rPr>
          <w:rFonts w:hint="eastAsia" w:ascii="仿宋_GB2312" w:cs="仿宋_GB2312"/>
          <w:color w:val="auto"/>
        </w:rPr>
        <w:t>1</w:t>
      </w:r>
      <w:r>
        <w:rPr>
          <w:rFonts w:ascii="仿宋_GB2312" w:cs="仿宋_GB2312"/>
          <w:color w:val="auto"/>
        </w:rPr>
        <w:t>月</w:t>
      </w:r>
      <w:r>
        <w:rPr>
          <w:rFonts w:hint="eastAsia" w:ascii="仿宋_GB2312" w:cs="仿宋_GB2312"/>
          <w:color w:val="auto"/>
        </w:rPr>
        <w:t>19</w:t>
      </w:r>
      <w:r>
        <w:rPr>
          <w:rFonts w:ascii="仿宋_GB2312" w:cs="仿宋_GB2312"/>
          <w:color w:val="auto"/>
        </w:rPr>
        <w:t>日</w:t>
      </w:r>
      <w:r>
        <w:rPr>
          <w:rFonts w:ascii="仿宋_GB2312" w:cs="仿宋_GB2312"/>
          <w:bCs/>
          <w:color w:val="auto"/>
        </w:rPr>
        <w:t>至</w:t>
      </w:r>
      <w:r>
        <w:rPr>
          <w:rFonts w:hint="eastAsia" w:ascii="仿宋_GB2312" w:cs="仿宋_GB2312"/>
          <w:bCs/>
          <w:color w:val="auto"/>
        </w:rPr>
        <w:t>2025</w:t>
      </w:r>
      <w:r>
        <w:rPr>
          <w:rFonts w:ascii="仿宋_GB2312" w:cs="仿宋_GB2312"/>
          <w:bCs/>
          <w:color w:val="auto"/>
        </w:rPr>
        <w:t>年</w:t>
      </w:r>
      <w:r>
        <w:rPr>
          <w:rFonts w:hint="eastAsia" w:ascii="仿宋_GB2312" w:cs="仿宋_GB2312"/>
          <w:bCs/>
          <w:color w:val="auto"/>
        </w:rPr>
        <w:t>3</w:t>
      </w:r>
      <w:r>
        <w:rPr>
          <w:rFonts w:ascii="仿宋_GB2312" w:cs="仿宋_GB2312"/>
          <w:bCs/>
          <w:color w:val="auto"/>
        </w:rPr>
        <w:t>月累计获考核</w:t>
      </w:r>
      <w:r>
        <w:rPr>
          <w:rFonts w:hint="eastAsia" w:ascii="仿宋_GB2312" w:cs="仿宋_GB2312"/>
          <w:bCs/>
          <w:color w:val="auto"/>
        </w:rPr>
        <w:t>积</w:t>
      </w:r>
      <w:r>
        <w:rPr>
          <w:rFonts w:ascii="仿宋_GB2312" w:cs="仿宋_GB2312"/>
          <w:bCs/>
          <w:color w:val="auto"/>
        </w:rPr>
        <w:t>分</w:t>
      </w:r>
      <w:r>
        <w:rPr>
          <w:rFonts w:hint="eastAsia" w:ascii="仿宋_GB2312" w:cs="仿宋_GB2312"/>
          <w:bCs/>
          <w:color w:val="auto"/>
        </w:rPr>
        <w:t>3915</w:t>
      </w:r>
      <w:r>
        <w:rPr>
          <w:rFonts w:ascii="仿宋_GB2312" w:cs="仿宋_GB2312"/>
          <w:bCs/>
          <w:color w:val="auto"/>
        </w:rPr>
        <w:t>分，表扬</w:t>
      </w:r>
      <w:r>
        <w:rPr>
          <w:rFonts w:hint="eastAsia" w:ascii="仿宋_GB2312" w:cs="仿宋_GB2312"/>
          <w:bCs/>
          <w:color w:val="auto"/>
        </w:rPr>
        <w:t>4</w:t>
      </w:r>
      <w:r>
        <w:rPr>
          <w:rFonts w:ascii="仿宋_GB2312" w:cs="仿宋_GB2312"/>
          <w:bCs/>
          <w:color w:val="auto"/>
        </w:rPr>
        <w:t>次，物质奖励</w:t>
      </w:r>
      <w:r>
        <w:rPr>
          <w:rFonts w:hint="eastAsia" w:ascii="仿宋_GB2312" w:cs="仿宋_GB2312"/>
          <w:bCs/>
          <w:color w:val="auto"/>
        </w:rPr>
        <w:t>2</w:t>
      </w:r>
      <w:r>
        <w:rPr>
          <w:rFonts w:ascii="仿宋_GB2312" w:cs="仿宋_GB2312"/>
          <w:bCs/>
          <w:color w:val="auto"/>
        </w:rPr>
        <w:t>次；</w:t>
      </w:r>
      <w:r>
        <w:rPr>
          <w:rFonts w:hint="eastAsia" w:ascii="仿宋_GB2312" w:cs="仿宋_GB2312"/>
          <w:bCs/>
          <w:color w:val="auto"/>
        </w:rPr>
        <w:t>考核期内</w:t>
      </w:r>
      <w:r>
        <w:rPr>
          <w:rFonts w:ascii="仿宋_GB2312" w:cs="仿宋_GB2312"/>
          <w:bCs/>
          <w:color w:val="auto"/>
        </w:rPr>
        <w:t>违规</w:t>
      </w:r>
      <w:r>
        <w:rPr>
          <w:rFonts w:hint="eastAsia" w:ascii="仿宋_GB2312" w:cs="仿宋_GB2312"/>
          <w:bCs/>
          <w:color w:val="auto"/>
        </w:rPr>
        <w:t>4</w:t>
      </w:r>
      <w:r>
        <w:rPr>
          <w:rFonts w:ascii="仿宋_GB2312" w:cs="仿宋_GB2312"/>
          <w:bCs/>
          <w:color w:val="auto"/>
        </w:rPr>
        <w:t>次，累计扣考核</w:t>
      </w:r>
      <w:r>
        <w:rPr>
          <w:rFonts w:hint="eastAsia" w:ascii="仿宋_GB2312" w:cs="仿宋_GB2312"/>
          <w:bCs/>
          <w:color w:val="auto"/>
        </w:rPr>
        <w:t>积</w:t>
      </w:r>
      <w:r>
        <w:rPr>
          <w:rFonts w:ascii="仿宋_GB2312" w:cs="仿宋_GB2312"/>
          <w:bCs/>
          <w:color w:val="auto"/>
        </w:rPr>
        <w:t>分</w:t>
      </w:r>
      <w:r>
        <w:rPr>
          <w:rFonts w:hint="eastAsia" w:ascii="仿宋_GB2312" w:cs="仿宋_GB2312"/>
          <w:bCs/>
          <w:color w:val="auto"/>
        </w:rPr>
        <w:t>20</w:t>
      </w:r>
      <w:r>
        <w:rPr>
          <w:rFonts w:ascii="仿宋_GB2312" w:cs="仿宋_GB2312"/>
          <w:bCs/>
          <w:color w:val="auto"/>
        </w:rPr>
        <w:t>分，</w:t>
      </w:r>
      <w:r>
        <w:rPr>
          <w:rFonts w:hint="eastAsia" w:ascii="仿宋_GB2312" w:cs="仿宋_GB2312"/>
          <w:bCs/>
          <w:color w:val="auto"/>
        </w:rPr>
        <w:t>无重大违规</w:t>
      </w:r>
      <w:r>
        <w:rPr>
          <w:rFonts w:ascii="仿宋_GB2312" w:cs="仿宋_GB2312"/>
          <w:bCs/>
          <w:color w:val="auto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该犯原判财产性判项已履行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赔偿款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人民币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3800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；其中本次于2025年3月4日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向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福建省福州鼓楼区人民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法院缴纳赔偿款人民币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3800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。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该犯考核期消费总额人民币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15635.58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，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月均消费人民币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189.32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元，账户可用余额人民币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225.72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元。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该犯</w:t>
      </w:r>
      <w:r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  <w:t>财产性判项义务履行金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额未达到其个人应履行总额</w:t>
      </w:r>
      <w:r>
        <w:rPr>
          <w:rFonts w:ascii="Times New Roman" w:hAnsi="Times New Roman" w:eastAsia="仿宋_GB2312" w:cs="Times New Roman"/>
          <w:kern w:val="32"/>
          <w:sz w:val="32"/>
          <w:szCs w:val="32"/>
        </w:rPr>
        <w:t>30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%，因此提请减刑幅度扣减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三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本案于2025年6月11日至2025年6月17日在狱内公示未收到不同意见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林辉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四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个月。特提请你院审理裁定。</w:t>
      </w:r>
    </w:p>
    <w:p>
      <w:pPr>
        <w:pStyle w:val="7"/>
        <w:spacing w:line="430" w:lineRule="exact"/>
        <w:ind w:right="-33" w:rightChars="-15" w:firstLine="640" w:firstLineChars="200"/>
      </w:pPr>
      <w:r>
        <w:rPr>
          <w:rFonts w:ascii="仿宋_GB2312" w:cs="仿宋_GB2312"/>
        </w:rPr>
        <w:t>此致</w:t>
      </w:r>
    </w:p>
    <w:p>
      <w:pPr>
        <w:pStyle w:val="9"/>
        <w:spacing w:line="430" w:lineRule="exact"/>
        <w:ind w:right="-33" w:rightChars="-15" w:firstLine="0" w:firstLineChars="0"/>
      </w:pPr>
      <w:r>
        <w:rPr>
          <w:rFonts w:ascii="仿宋_GB2312" w:cs="仿宋_GB2312"/>
        </w:rPr>
        <w:t>福建省</w:t>
      </w:r>
      <w:r>
        <w:rPr>
          <w:rFonts w:hint="eastAsia"/>
        </w:rPr>
        <w:t>南平</w:t>
      </w:r>
      <w:r>
        <w:rPr>
          <w:rFonts w:ascii="仿宋_GB2312" w:cs="仿宋_GB2312"/>
        </w:rPr>
        <w:t>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cs="仿宋_GB2312"/>
        </w:rPr>
        <w:t xml:space="preserve"> 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ascii="仿宋_GB2312" w:cs="仿宋_GB2312"/>
        </w:rPr>
        <w:t>附件：⒈罪犯</w:t>
      </w:r>
      <w:r>
        <w:rPr>
          <w:rFonts w:hint="eastAsia" w:cs="仿宋_GB2312"/>
        </w:rPr>
        <w:t>林辉</w:t>
      </w:r>
      <w:r>
        <w:rPr>
          <w:rFonts w:ascii="仿宋_GB2312" w:cs="仿宋_GB2312"/>
        </w:rPr>
        <w:t>卷宗</w:t>
      </w:r>
      <w:r>
        <w:rPr>
          <w:rFonts w:hint="eastAsia"/>
        </w:rPr>
        <w:t>二</w:t>
      </w:r>
      <w:r>
        <w:rPr>
          <w:rFonts w:ascii="仿宋_GB2312" w:cs="仿宋_GB2312"/>
        </w:rPr>
        <w:t>册</w:t>
      </w:r>
    </w:p>
    <w:p>
      <w:pPr>
        <w:pStyle w:val="9"/>
        <w:spacing w:line="430" w:lineRule="exact"/>
        <w:ind w:left="640" w:right="-33" w:rightChars="-15" w:firstLine="960" w:firstLineChars="300"/>
        <w:rPr>
          <w:rFonts w:cs="仿宋_GB2312"/>
        </w:rPr>
      </w:pPr>
      <w:r>
        <w:rPr>
          <w:rFonts w:ascii="仿宋_GB2312" w:cs="仿宋_GB2312"/>
        </w:rPr>
        <w:t>⒉减刑建议书</w:t>
      </w:r>
      <w:r>
        <w:rPr>
          <w:rFonts w:hint="eastAsia"/>
        </w:rPr>
        <w:t>五</w:t>
      </w:r>
      <w:r>
        <w:rPr>
          <w:rFonts w:ascii="仿宋_GB2312" w:cs="仿宋_GB2312"/>
        </w:rPr>
        <w:t>份</w:t>
      </w:r>
    </w:p>
    <w:p>
      <w:pPr>
        <w:pStyle w:val="7"/>
        <w:spacing w:line="430" w:lineRule="exact"/>
        <w:ind w:left="640" w:right="-33" w:rightChars="-15"/>
      </w:pPr>
      <w: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8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880" w:rightChars="400"/>
        <w:jc w:val="right"/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63B"/>
    <w:rsid w:val="00274B2D"/>
    <w:rsid w:val="00752F21"/>
    <w:rsid w:val="0075363B"/>
    <w:rsid w:val="01732618"/>
    <w:rsid w:val="07A40985"/>
    <w:rsid w:val="2C0738BE"/>
    <w:rsid w:val="470063C4"/>
    <w:rsid w:val="47CE55E4"/>
    <w:rsid w:val="7F0A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pPr>
      <w:spacing w:beforeLines="0" w:afterLines="0"/>
    </w:pPr>
    <w:rPr>
      <w:rFonts w:hint="default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称呼1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  <w:style w:type="paragraph" w:customStyle="1" w:styleId="8">
    <w:name w:val="普通(网站)1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160</Words>
  <Characters>917</Characters>
  <Lines>7</Lines>
  <Paragraphs>2</Paragraphs>
  <TotalTime>2</TotalTime>
  <ScaleCrop>false</ScaleCrop>
  <LinksUpToDate>false</LinksUpToDate>
  <CharactersWithSpaces>1075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2025-06-25T01:02:42Z</dcterms:modified>
  <dc:title>福建省武夷山监狱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