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515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罪犯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eastAsia="zh-CN"/>
        </w:rPr>
        <w:t>阮传海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1976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17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文化，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出生地福建省周宁县，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捕前系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无固定职业。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现在福建省武夷山监狱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直属一分监区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服刑。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福建省福州市鼓楼区人民法院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2019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2019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闽0102刑初194号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刑事判决，以被告人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eastAsia="zh-CN"/>
        </w:rPr>
        <w:t>阮传海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信用卡诈骗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罪，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判处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有期徒刑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八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年，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并处罚金人民币十万元；责令被告人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eastAsia="zh-CN"/>
        </w:rPr>
        <w:t>阮传海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退赔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被害单位中国建设银行福建省分行损失人民币517401.28元，退赔被害单位中信银行信用卡福州分行损失人民币191551.53元，民生银行损失人民币247100.64元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被告人不服，提出上诉。福建省福州市中级人民法院于2020年1月13日作出（2019）闽01刑终1556号刑事裁定，驳回上诉，维持原判。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2020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19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2018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日起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至2026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日止）。福建省南平市中级人民法院于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日作出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（2023）闽07刑更130号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刑事裁定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，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对其减去有期徒刑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四个月。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裁定书送达时间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日（刑期自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2018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该犯自上次减刑以来确有悔改表现，具体事实如下：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认罪悔罪：能服从法院判决，自书认罪悔罪书。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遵守监规：在服刑期间，虽有违规行为，经民警教育，能认识错误，继续安心改造，规范行为，能遵守法律法规及监规纪律，接受教育改造。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学习情况：能参加思想、文化、职业技术教育。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劳动改造：能参加劳动，努力完成劳动任务。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奖惩情况：该犯上次评定表扬剩余考核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180.4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分，本轮考核期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1日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月累计获考核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3103.9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分，合计获得考核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3284.3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分，表扬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次；间隔期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日至202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月，获考核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2695.9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分。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考核期内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违规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次，扣考核分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分，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无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重大违规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9000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元；其中本次提请向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福建省南平市中级人民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法院缴纳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罚金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人民币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2700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。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该犯考核期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消费总额人民币4697.87元，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月均消费人民币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156.59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元，账户可用余额人民币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249.4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该犯系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金融诈骗犯罪的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罪犯，属于从严掌握减刑对象，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且该犯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财产性判项义务履行金额未达到其个人应履行总额30%，因此提请减刑幅度扣减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四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个月。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本案于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18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日在狱内公示未收到不同意见。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eastAsia="zh-CN"/>
        </w:rPr>
        <w:t>阮传海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四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此致</w:t>
      </w:r>
    </w:p>
    <w:p>
      <w:pPr>
        <w:widowControl w:val="0"/>
        <w:adjustRightInd/>
        <w:snapToGrid/>
        <w:spacing w:after="0" w:line="430" w:lineRule="exact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南平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市中级人民法院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附件：⒈罪犯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eastAsia="zh-CN"/>
        </w:rPr>
        <w:t>阮传海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卷宗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二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册</w:t>
      </w:r>
    </w:p>
    <w:p>
      <w:pPr>
        <w:widowControl w:val="0"/>
        <w:adjustRightInd/>
        <w:snapToGrid/>
        <w:spacing w:after="0" w:line="430" w:lineRule="exact"/>
        <w:ind w:firstLine="1600" w:firstLineChars="5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⒉减刑建议书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五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份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880" w:rightChars="400"/>
        <w:jc w:val="right"/>
        <w:textAlignment w:val="auto"/>
        <w:rPr>
          <w:rFonts w:hint="eastAsia" w:ascii="Times New Roman" w:hAnsi="Times New Roman" w:eastAsia="FangSong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FangSong_GB2312" w:cs="Times New Roman"/>
          <w:color w:val="auto"/>
          <w:kern w:val="32"/>
          <w:sz w:val="32"/>
          <w:szCs w:val="32"/>
        </w:rPr>
        <w:t>福建省</w:t>
      </w:r>
      <w:r>
        <w:rPr>
          <w:rFonts w:hint="eastAsia" w:ascii="Times New Roman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武夷山</w:t>
      </w:r>
      <w:r>
        <w:rPr>
          <w:rFonts w:hint="eastAsia" w:ascii="Times New Roman" w:hAnsi="Times New Roman" w:eastAsia="FangSong_GB2312" w:cs="Times New Roman"/>
          <w:color w:val="auto"/>
          <w:kern w:val="32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880" w:rightChars="400"/>
        <w:jc w:val="right"/>
        <w:textAlignment w:val="auto"/>
        <w:rPr>
          <w:rFonts w:hint="eastAsia" w:ascii="Times New Roman" w:hAnsi="Times New Roman" w:eastAsia="FangSong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FangSong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FangSong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FangSong_GB2312" w:cs="Times New Roman"/>
          <w:color w:val="auto"/>
          <w:kern w:val="32"/>
          <w:sz w:val="32"/>
          <w:szCs w:val="32"/>
        </w:rPr>
        <w:t>日</w:t>
      </w:r>
    </w:p>
    <w:sectPr>
      <w:pgSz w:w="11906" w:h="16838"/>
      <w:pgMar w:top="1327" w:right="1800" w:bottom="1327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E9260D"/>
    <w:rsid w:val="07D66B58"/>
    <w:rsid w:val="2D9613B2"/>
    <w:rsid w:val="46763343"/>
    <w:rsid w:val="6143535F"/>
    <w:rsid w:val="6DE410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cp:lastPrinted>2024-12-15T08:04:00Z</cp:lastPrinted>
  <dcterms:modified xsi:type="dcterms:W3CDTF">2025-07-30T08:22:54Z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