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517</w:t>
      </w:r>
      <w:r>
        <w:rPr>
          <w:rFonts w:hint="eastAsia" w:eastAsia="KaiTi_GB2312" w:cs="KaiTi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罪犯杨学海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fldChar w:fldCharType="begin"/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fldChar w:fldCharType="end"/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，男，1997年7月12日出生，汉族，初中文化</w:t>
      </w:r>
      <w:bookmarkStart w:id="0" w:name="_GoBack"/>
      <w:bookmarkEnd w:id="0"/>
      <w:r>
        <w:rPr>
          <w:rFonts w:hint="eastAsia" w:ascii="FangSong_GB2312" w:hAnsi="Times New Roman" w:cs="Times New Roman"/>
          <w:color w:val="auto"/>
          <w:szCs w:val="32"/>
          <w:lang w:eastAsia="zh-CN"/>
        </w:rPr>
        <w:t>。捕前系务工。现在福建省武夷山监狱一监区一分监区服刑。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福建省南安市人民法院于2022年9月28日作出（2021）闽0583刑初2618号刑事判决，以被告人杨学海犯掩饰、隐瞒犯罪所得罪，判处有期徒刑四年九个月，并处罚金人民币三万元。同案被告人不服，提出上诉。福建省泉州市中级人民法院于2022年12月7日作出（2022）闽05刑终1540号刑事裁定，驳回上诉，维持原判。判决发生法律效力后，于2023年3月20日交付福建省武夷山监狱执行（刑期自2021年8月11日起至2026年5月10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该犯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自入监以来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遵守监规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学习情况：能参加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思想、文化、职业技术教育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劳动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奖惩情况：该犯考核期202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3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3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年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2460.5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3次，</w:t>
      </w:r>
      <w:r>
        <w:rPr>
          <w:rFonts w:hint="eastAsia" w:ascii="FangSong_GB2312" w:hAnsi="Times New Roman" w:cs="Times New Roman"/>
          <w:color w:val="auto"/>
          <w:szCs w:val="32"/>
          <w:lang w:val="zh-CN" w:eastAsia="zh-CN"/>
        </w:rPr>
        <w:t>物质奖励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1次。考核期内共违规扣分2次，累计扣考核分11分。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该犯原判财产性判项已履行人民币30000元，其中本次提请向福建省南安市人民法院缴纳罚金人民币30000元。财产性判项已全部履行完毕。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14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2025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8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FangSong_GB2312" w:cs="Times New Roman"/>
          <w:color w:val="auto"/>
          <w:szCs w:val="32"/>
          <w:lang w:val="en-US" w:eastAsia="zh-CN"/>
        </w:rPr>
        <w:t>20</w:t>
      </w:r>
      <w:r>
        <w:rPr>
          <w:rFonts w:hint="eastAsia" w:ascii="FangSong_GB2312" w:hAnsi="Times New Roman" w:cs="Times New Roman"/>
          <w:color w:val="auto"/>
          <w:szCs w:val="32"/>
          <w:lang w:eastAsia="zh-CN"/>
        </w:rPr>
        <w:t xml:space="preserve">日在狱内公示未收到不同意见。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杨学海予以减刑六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Times New Roman" w:cs="Times New Roman"/>
          <w:color w:val="auto"/>
          <w:szCs w:val="32"/>
          <w:lang w:eastAsia="zh-CN"/>
        </w:rPr>
      </w:pPr>
      <w:r>
        <w:rPr>
          <w:rFonts w:hint="eastAsia" w:ascii="FangSong_GB2312" w:hAnsi="Times New Roman" w:cs="Times New Roman"/>
          <w:color w:val="auto"/>
          <w:szCs w:val="32"/>
          <w:lang w:eastAsia="zh-CN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福建省南平市中级人民法院</w:t>
      </w: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</w:p>
    <w:p>
      <w:pPr>
        <w:pStyle w:val="5"/>
        <w:spacing w:line="430" w:lineRule="exact"/>
        <w:ind w:left="640" w:firstLine="0" w:firstLineChars="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附件：⒈罪犯杨学海卷宗二册</w:t>
      </w:r>
    </w:p>
    <w:p>
      <w:pPr>
        <w:pStyle w:val="5"/>
        <w:spacing w:line="430" w:lineRule="exact"/>
        <w:ind w:left="640" w:right="-48" w:rightChars="-15" w:firstLine="960" w:firstLineChars="30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9770C2"/>
    <w:rsid w:val="00EC5745"/>
    <w:rsid w:val="01F30842"/>
    <w:rsid w:val="02304E24"/>
    <w:rsid w:val="02DE36A5"/>
    <w:rsid w:val="04937F50"/>
    <w:rsid w:val="04A11703"/>
    <w:rsid w:val="04E54E0B"/>
    <w:rsid w:val="04EE41D0"/>
    <w:rsid w:val="064B60AE"/>
    <w:rsid w:val="07DF3D76"/>
    <w:rsid w:val="086C4D7C"/>
    <w:rsid w:val="0A6F1B02"/>
    <w:rsid w:val="0B4201BB"/>
    <w:rsid w:val="0EA12B90"/>
    <w:rsid w:val="0EA55D13"/>
    <w:rsid w:val="0F160D1B"/>
    <w:rsid w:val="0FA7463C"/>
    <w:rsid w:val="105C496F"/>
    <w:rsid w:val="11E8169E"/>
    <w:rsid w:val="12800B78"/>
    <w:rsid w:val="12ED3593"/>
    <w:rsid w:val="1393602E"/>
    <w:rsid w:val="13CC4049"/>
    <w:rsid w:val="13E92112"/>
    <w:rsid w:val="143A658E"/>
    <w:rsid w:val="152B2CBE"/>
    <w:rsid w:val="15C41EAE"/>
    <w:rsid w:val="15D363DA"/>
    <w:rsid w:val="162F5EEB"/>
    <w:rsid w:val="16E433F7"/>
    <w:rsid w:val="173B7F2B"/>
    <w:rsid w:val="18141806"/>
    <w:rsid w:val="18AC5707"/>
    <w:rsid w:val="18BF28FC"/>
    <w:rsid w:val="196C36C2"/>
    <w:rsid w:val="1ADD3BF7"/>
    <w:rsid w:val="1CE3322C"/>
    <w:rsid w:val="1E0F4722"/>
    <w:rsid w:val="1E5C7B0F"/>
    <w:rsid w:val="201715B2"/>
    <w:rsid w:val="23CE2152"/>
    <w:rsid w:val="26521B7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CEA0EF0"/>
    <w:rsid w:val="2CFD78EF"/>
    <w:rsid w:val="2D8930AF"/>
    <w:rsid w:val="2E5965F8"/>
    <w:rsid w:val="30961B60"/>
    <w:rsid w:val="312715EC"/>
    <w:rsid w:val="31A31180"/>
    <w:rsid w:val="32A421DB"/>
    <w:rsid w:val="3305631F"/>
    <w:rsid w:val="333B229A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CF4588F"/>
    <w:rsid w:val="3D5D3D4B"/>
    <w:rsid w:val="3E236DA8"/>
    <w:rsid w:val="3EE47107"/>
    <w:rsid w:val="3F015C9A"/>
    <w:rsid w:val="3F953F8F"/>
    <w:rsid w:val="3FF90105"/>
    <w:rsid w:val="40197335"/>
    <w:rsid w:val="40CB568D"/>
    <w:rsid w:val="413E6CD7"/>
    <w:rsid w:val="41D7012D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82700DD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A92185"/>
    <w:rsid w:val="51E07D36"/>
    <w:rsid w:val="52914C19"/>
    <w:rsid w:val="52B85BC6"/>
    <w:rsid w:val="52BA32C7"/>
    <w:rsid w:val="54520C51"/>
    <w:rsid w:val="55332C29"/>
    <w:rsid w:val="556C452E"/>
    <w:rsid w:val="5584155C"/>
    <w:rsid w:val="559917B1"/>
    <w:rsid w:val="571F7BA1"/>
    <w:rsid w:val="58B611FB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AFE21D4"/>
    <w:rsid w:val="6BEE0CD8"/>
    <w:rsid w:val="6CC87405"/>
    <w:rsid w:val="6CCE130E"/>
    <w:rsid w:val="6CE20609"/>
    <w:rsid w:val="6DEE4FE9"/>
    <w:rsid w:val="6E694933"/>
    <w:rsid w:val="6EC50D1F"/>
    <w:rsid w:val="6EC92EBE"/>
    <w:rsid w:val="6ED25BF8"/>
    <w:rsid w:val="6ED77E46"/>
    <w:rsid w:val="6F822D45"/>
    <w:rsid w:val="6FB37FD9"/>
    <w:rsid w:val="709C13CF"/>
    <w:rsid w:val="71332258"/>
    <w:rsid w:val="717E768A"/>
    <w:rsid w:val="719B34F1"/>
    <w:rsid w:val="72255D04"/>
    <w:rsid w:val="72350BE3"/>
    <w:rsid w:val="72BF1FCE"/>
    <w:rsid w:val="7329453A"/>
    <w:rsid w:val="737F3ACF"/>
    <w:rsid w:val="73BE1EF1"/>
    <w:rsid w:val="74724A1C"/>
    <w:rsid w:val="789D523F"/>
    <w:rsid w:val="7A83705F"/>
    <w:rsid w:val="7A945BF6"/>
    <w:rsid w:val="7C1067FC"/>
    <w:rsid w:val="7D6342C7"/>
    <w:rsid w:val="7F3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798</Characters>
  <Lines>6</Lines>
  <Paragraphs>1</Paragraphs>
  <TotalTime>4</TotalTime>
  <ScaleCrop>false</ScaleCrop>
  <LinksUpToDate>false</LinksUpToDate>
  <CharactersWithSpaces>936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2025-08-27T03:26:46Z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