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line="800" w:lineRule="exact"/>
        <w:ind w:firstLine="2200" w:firstLineChars="500"/>
        <w:jc w:val="both"/>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请</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减</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刑 建</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议</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FangSong_GB2312"/>
          <w:b/>
          <w:bCs/>
          <w:color w:val="auto"/>
          <w:sz w:val="28"/>
        </w:rPr>
      </w:pPr>
      <w:r>
        <w:rPr>
          <w:rFonts w:hint="eastAsia" w:eastAsia="KaiTi_GB2312" w:cs="KaiTi_GB2312"/>
          <w:color w:val="auto"/>
          <w:szCs w:val="32"/>
        </w:rPr>
        <w:t>〔</w:t>
      </w:r>
      <w:r>
        <w:rPr>
          <w:rFonts w:ascii="Times New Roman" w:hAnsi="Times New Roman" w:eastAsia="KaiTi_GB2312" w:cs="KaiTi_GB2312"/>
          <w:color w:val="auto"/>
          <w:szCs w:val="32"/>
        </w:rPr>
        <w:t>20</w:t>
      </w:r>
      <w:r>
        <w:rPr>
          <w:rFonts w:hint="eastAsia" w:eastAsia="KaiTi_GB2312"/>
          <w:color w:val="auto"/>
          <w:szCs w:val="32"/>
          <w:lang w:val="en-US" w:eastAsia="zh-CN"/>
        </w:rPr>
        <w:t>25</w:t>
      </w:r>
      <w:r>
        <w:rPr>
          <w:rFonts w:hint="eastAsia" w:eastAsia="KaiTi_GB2312" w:cs="KaiTi_GB2312"/>
          <w:color w:val="auto"/>
          <w:szCs w:val="32"/>
        </w:rPr>
        <w:t>〕闽</w:t>
      </w:r>
      <w:r>
        <w:rPr>
          <w:rFonts w:hint="eastAsia" w:eastAsia="KaiTi_GB2312" w:cs="KaiTi_GB2312"/>
          <w:color w:val="auto"/>
          <w:szCs w:val="32"/>
          <w:lang w:val="en-US" w:eastAsia="zh-CN"/>
        </w:rPr>
        <w:t>武</w:t>
      </w:r>
      <w:r>
        <w:rPr>
          <w:rFonts w:hint="eastAsia" w:eastAsia="KaiTi_GB2312" w:cs="KaiTi_GB2312"/>
          <w:color w:val="auto"/>
          <w:szCs w:val="32"/>
        </w:rPr>
        <w:t>狱减字第</w:t>
      </w:r>
      <w:r>
        <w:rPr>
          <w:rFonts w:hint="eastAsia" w:eastAsia="KaiTi_GB2312" w:cs="KaiTi_GB2312"/>
          <w:color w:val="auto"/>
          <w:szCs w:val="32"/>
          <w:lang w:val="en-US" w:eastAsia="zh-CN"/>
        </w:rPr>
        <w:t>721</w:t>
      </w:r>
      <w:r>
        <w:rPr>
          <w:rFonts w:hint="eastAsia" w:eastAsia="KaiTi_GB2312" w:cs="KaiTi_GB2312"/>
          <w:color w:val="auto"/>
          <w:szCs w:val="32"/>
        </w:rPr>
        <w:t>号</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罪犯刘东琳</w:t>
      </w:r>
      <w:r>
        <w:rPr>
          <w:rFonts w:hint="eastAsia" w:ascii="仿宋_GB2312"/>
          <w:color w:val="auto"/>
          <w:szCs w:val="32"/>
          <w:lang w:val="en-US" w:eastAsia="zh-CN"/>
        </w:rPr>
        <w:fldChar w:fldCharType="begin"/>
      </w:r>
      <w:r>
        <w:rPr>
          <w:rFonts w:hint="eastAsia" w:ascii="仿宋_GB2312"/>
          <w:color w:val="auto"/>
          <w:szCs w:val="32"/>
          <w:lang w:val="en-US" w:eastAsia="zh-CN"/>
        </w:rPr>
        <w:instrText xml:space="preserve"> AUTOTEXTLIST  \* MERGEFORMAT </w:instrText>
      </w:r>
      <w:r>
        <w:rPr>
          <w:rFonts w:hint="eastAsia" w:ascii="仿宋_GB2312"/>
          <w:color w:val="auto"/>
          <w:szCs w:val="32"/>
          <w:lang w:val="en-US" w:eastAsia="zh-CN"/>
        </w:rPr>
        <w:fldChar w:fldCharType="end"/>
      </w:r>
      <w:r>
        <w:rPr>
          <w:rFonts w:hint="eastAsia" w:ascii="仿宋_GB2312"/>
          <w:color w:val="auto"/>
          <w:szCs w:val="32"/>
          <w:lang w:val="en-US" w:eastAsia="zh-CN"/>
        </w:rPr>
        <w:t>，男，1989年7月27日出生，汉族，初中文化，住福建省福州市晋安区</w:t>
      </w:r>
      <w:bookmarkStart w:id="0" w:name="_GoBack"/>
      <w:bookmarkEnd w:id="0"/>
      <w:r>
        <w:rPr>
          <w:rFonts w:hint="eastAsia" w:ascii="仿宋_GB2312"/>
          <w:color w:val="auto"/>
          <w:szCs w:val="32"/>
          <w:lang w:val="en-US" w:eastAsia="zh-CN"/>
        </w:rPr>
        <w:t>，捕前系无业。2019年2月28日利用网络发布违法犯罪活动信息被江西省南昌市公安局东湖分局处以行政拘留一日并处罚款人民币10万元。现在福建省武夷山监狱五监区十四分监区服刑。</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福建省福州市晋安区人民法院于2021年4月20日作出（2021）闽0111刑初60号刑事判决，以被告人刘东琳犯非法经营罪，判处有期徒刑六年，并处罚金人民币五十万元；继续追缴各被告人刘东琳、刘东兴违法所得人民币七十万元，予以没收，上缴国库。被告人不服，提出上诉。福建省福州市中级人民法院于2021年7月8日作出（2021）闽01刑终571号刑事裁定，驳回上诉，维持原判。判决生效后于2021年8月19日交付福建省武夷山监狱执行刑罚（刑期自2020年7月15日起至2026年7月14日止）。福建省南平市中级人民法院于2023年8月28日作出（2023）闽07刑更1034号刑事裁定，对其减去有期徒刑三个月，裁定书送达时间2023年8月29日（刑期自2020年7月15日起至2026年4月14日止）。现属普管级罪犯。</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该犯</w:t>
      </w:r>
      <w:r>
        <w:rPr>
          <w:rFonts w:hint="eastAsia" w:ascii="仿宋_GB2312"/>
          <w:color w:val="auto"/>
          <w:szCs w:val="32"/>
          <w:lang w:val="zh-CN" w:eastAsia="zh-CN"/>
        </w:rPr>
        <w:t>自</w:t>
      </w:r>
      <w:r>
        <w:rPr>
          <w:rFonts w:hint="eastAsia" w:ascii="仿宋_GB2312"/>
          <w:color w:val="auto"/>
          <w:szCs w:val="32"/>
          <w:lang w:val="en-US" w:eastAsia="zh-CN"/>
        </w:rPr>
        <w:t>上次减刑</w:t>
      </w:r>
      <w:r>
        <w:rPr>
          <w:rFonts w:hint="eastAsia" w:ascii="仿宋_GB2312"/>
          <w:color w:val="auto"/>
          <w:szCs w:val="32"/>
          <w:lang w:val="zh-CN" w:eastAsia="zh-CN"/>
        </w:rPr>
        <w:t>以来</w:t>
      </w:r>
      <w:r>
        <w:rPr>
          <w:rFonts w:hint="eastAsia" w:ascii="仿宋_GB2312"/>
          <w:color w:val="auto"/>
          <w:szCs w:val="32"/>
          <w:lang w:val="en-US" w:eastAsia="zh-CN"/>
        </w:rPr>
        <w:t>确有悔改表现，具体事实如下：</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zh-CN" w:eastAsia="zh-CN"/>
        </w:rPr>
      </w:pPr>
      <w:r>
        <w:rPr>
          <w:rFonts w:hint="eastAsia" w:ascii="仿宋_GB2312"/>
          <w:color w:val="auto"/>
          <w:szCs w:val="32"/>
          <w:lang w:val="en-US" w:eastAsia="zh-CN"/>
        </w:rPr>
        <w:t>遵守监规：在服刑期间虽有违规行为，经民警教育，能认识错误，继续安心改造，规范行为，能遵守法律法规及监规纪律，接受教育改造。</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zh-CN" w:eastAsia="zh-CN"/>
        </w:rPr>
      </w:pPr>
      <w:r>
        <w:rPr>
          <w:rFonts w:hint="eastAsia" w:ascii="仿宋_GB2312"/>
          <w:color w:val="auto"/>
          <w:szCs w:val="32"/>
          <w:lang w:val="zh-CN" w:eastAsia="zh-CN"/>
        </w:rPr>
        <w:t>学习情况：能参加</w:t>
      </w:r>
      <w:r>
        <w:rPr>
          <w:rFonts w:hint="eastAsia" w:ascii="仿宋_GB2312"/>
          <w:color w:val="auto"/>
          <w:szCs w:val="32"/>
          <w:lang w:val="en-US" w:eastAsia="zh-CN"/>
        </w:rPr>
        <w:t>思想、文化、职业技术教育</w:t>
      </w:r>
      <w:r>
        <w:rPr>
          <w:rFonts w:hint="eastAsia" w:ascii="仿宋_GB2312"/>
          <w:color w:val="auto"/>
          <w:szCs w:val="32"/>
          <w:lang w:val="zh-CN"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zh-CN" w:eastAsia="zh-CN"/>
        </w:rPr>
      </w:pPr>
      <w:r>
        <w:rPr>
          <w:rFonts w:hint="eastAsia" w:ascii="仿宋_GB2312"/>
          <w:color w:val="auto"/>
          <w:szCs w:val="32"/>
          <w:lang w:val="zh-CN" w:eastAsia="zh-CN"/>
        </w:rPr>
        <w:t>劳动改造：能参加劳动，努力完成</w:t>
      </w:r>
      <w:r>
        <w:rPr>
          <w:rFonts w:hint="eastAsia" w:ascii="仿宋_GB2312"/>
          <w:color w:val="auto"/>
          <w:szCs w:val="32"/>
          <w:lang w:val="en-US" w:eastAsia="zh-CN"/>
        </w:rPr>
        <w:t>劳动</w:t>
      </w:r>
      <w:r>
        <w:rPr>
          <w:rFonts w:hint="eastAsia" w:ascii="仿宋_GB2312"/>
          <w:color w:val="auto"/>
          <w:szCs w:val="32"/>
          <w:lang w:val="zh-CN" w:eastAsia="zh-CN"/>
        </w:rPr>
        <w:t>任务。</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zh-CN" w:eastAsia="zh-CN"/>
        </w:rPr>
      </w:pPr>
      <w:r>
        <w:rPr>
          <w:rFonts w:hint="eastAsia" w:ascii="仿宋_GB2312"/>
          <w:color w:val="auto"/>
          <w:szCs w:val="32"/>
          <w:lang w:val="zh-CN" w:eastAsia="zh-CN"/>
        </w:rPr>
        <w:t>奖惩情况：该犯上次评定表扬剩余考核积分169.2分，本轮考核期2023年5月1日至2025年7月累计获考核积分2837分，合计获考核积分3006.2分，表扬5次；间隔期2023年8月29日至2025年7月，获考核积分2416分。考核期内违规1次，累计扣考核分</w:t>
      </w:r>
      <w:r>
        <w:rPr>
          <w:rFonts w:hint="eastAsia" w:ascii="仿宋_GB2312"/>
          <w:color w:val="auto"/>
          <w:szCs w:val="32"/>
          <w:lang w:val="en-US" w:eastAsia="zh-CN"/>
        </w:rPr>
        <w:t>3</w:t>
      </w:r>
      <w:r>
        <w:rPr>
          <w:rFonts w:hint="eastAsia" w:ascii="仿宋_GB2312"/>
          <w:color w:val="auto"/>
          <w:szCs w:val="32"/>
          <w:lang w:val="zh-CN" w:eastAsia="zh-CN"/>
        </w:rPr>
        <w:t>分。</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zh-CN" w:eastAsia="zh-CN"/>
        </w:rPr>
        <w:t>该犯原判财产性判项已履行人民币16837.03元，其中本次提请通过监狱代</w:t>
      </w:r>
      <w:r>
        <w:rPr>
          <w:rFonts w:hint="eastAsia" w:ascii="仿宋_GB2312"/>
          <w:color w:val="auto"/>
          <w:szCs w:val="32"/>
          <w:lang w:val="en-US" w:eastAsia="zh-CN"/>
        </w:rPr>
        <w:t>缴纳</w:t>
      </w:r>
      <w:r>
        <w:rPr>
          <w:rFonts w:hint="eastAsia" w:ascii="仿宋_GB2312"/>
          <w:color w:val="auto"/>
          <w:szCs w:val="32"/>
          <w:lang w:val="zh-CN" w:eastAsia="zh-CN"/>
        </w:rPr>
        <w:t>罚金人民币3500元。该犯考核期</w:t>
      </w:r>
      <w:r>
        <w:rPr>
          <w:rFonts w:hint="eastAsia" w:ascii="仿宋_GB2312"/>
          <w:color w:val="auto"/>
          <w:szCs w:val="32"/>
          <w:lang w:val="en-US" w:eastAsia="zh-CN"/>
        </w:rPr>
        <w:t>消费总额人民币4994.07元，</w:t>
      </w:r>
      <w:r>
        <w:rPr>
          <w:rFonts w:hint="eastAsia" w:ascii="仿宋_GB2312"/>
          <w:color w:val="auto"/>
          <w:szCs w:val="32"/>
          <w:lang w:val="zh-CN" w:eastAsia="zh-CN"/>
        </w:rPr>
        <w:t>月均消费人民币184.97元，账户可用余额人民币612.83元。</w:t>
      </w:r>
      <w:r>
        <w:rPr>
          <w:rFonts w:hint="eastAsia" w:ascii="仿宋_GB2312"/>
          <w:color w:val="auto"/>
          <w:szCs w:val="32"/>
          <w:lang w:val="en-US" w:eastAsia="zh-CN"/>
        </w:rPr>
        <w:t>福建省福州市晋安区人民法院于2025年5月13日作出的回函载明，经本院强制执行：1、强制扣划被执行人刘东琳名下存款1337.03元、2023年4月6日家属代缴罚金10000元，已全部转入国库。至此，被执行人刘东琳需缴纳的罚金及责令退赔的款项仍未履行完毕，目前由于被执行人已无财产可供执行，且被执行人在你单位监所监管，无履行能力，因此本案终结本次执行程序。</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zh-CN" w:eastAsia="zh-CN"/>
        </w:rPr>
      </w:pPr>
      <w:r>
        <w:rPr>
          <w:rFonts w:hint="eastAsia" w:ascii="仿宋_GB2312"/>
          <w:color w:val="auto"/>
          <w:szCs w:val="32"/>
          <w:lang w:val="zh-CN" w:eastAsia="zh-CN"/>
        </w:rPr>
        <w:t>该犯</w:t>
      </w:r>
      <w:r>
        <w:rPr>
          <w:rFonts w:hint="eastAsia" w:ascii="仿宋_GB2312"/>
          <w:color w:val="auto"/>
          <w:szCs w:val="32"/>
          <w:lang w:val="en-US" w:eastAsia="zh-CN"/>
        </w:rPr>
        <w:t>财产性判项义务履行金额未达到其个人应履行总额30%，因此提请减刑幅度扣减三个月。</w:t>
      </w:r>
    </w:p>
    <w:p>
      <w:pPr>
        <w:widowControl w:val="0"/>
        <w:spacing w:before="0" w:beforeAutospacing="0" w:after="0" w:afterAutospacing="0" w:line="430" w:lineRule="exact"/>
        <w:ind w:left="0" w:right="0" w:firstLine="640" w:firstLineChars="200"/>
        <w:jc w:val="both"/>
        <w:rPr>
          <w:rFonts w:hint="eastAsia" w:ascii="仿宋_GB2312" w:hAnsi="Times New Roman" w:eastAsia="仿宋_GB2312" w:cs="仿宋_GB2312"/>
          <w:kern w:val="32"/>
          <w:sz w:val="32"/>
          <w:szCs w:val="32"/>
          <w:lang w:val="en-US" w:eastAsia="zh-CN"/>
        </w:rPr>
      </w:pPr>
      <w:r>
        <w:rPr>
          <w:rFonts w:hint="eastAsia" w:ascii="仿宋_GB2312" w:hAnsi="Times New Roman" w:eastAsia="仿宋_GB2312" w:cs="仿宋_GB2312"/>
          <w:kern w:val="32"/>
          <w:sz w:val="32"/>
          <w:szCs w:val="32"/>
          <w:lang w:val="en-US" w:eastAsia="zh-CN"/>
        </w:rPr>
        <w:t>本案于</w:t>
      </w:r>
      <w:r>
        <w:rPr>
          <w:rFonts w:hint="default" w:ascii="仿宋_GB2312" w:hAnsi="Times New Roman" w:eastAsia="仿宋_GB2312" w:cs="仿宋_GB2312"/>
          <w:kern w:val="32"/>
          <w:sz w:val="32"/>
          <w:szCs w:val="32"/>
          <w:lang w:val="en-US" w:eastAsia="zh-CN"/>
        </w:rPr>
        <w:t>2025年10月16日至2025年10月22日</w:t>
      </w:r>
      <w:r>
        <w:rPr>
          <w:rFonts w:hint="eastAsia" w:ascii="仿宋_GB2312" w:hAnsi="Times New Roman" w:eastAsia="仿宋_GB2312" w:cs="仿宋_GB2312"/>
          <w:kern w:val="32"/>
          <w:sz w:val="32"/>
          <w:szCs w:val="32"/>
          <w:lang w:val="en-US" w:eastAsia="zh-CN"/>
        </w:rPr>
        <w:t>在狱内公示未收到不同意见。</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因此，依照《中华人民共和国刑法》第七十八条、第七十九条《中华人民共和国刑事诉讼法》第二百七十三条第二款、《中华人民共和国监狱法》第二十九条的规定，建议对罪犯刘东琳予以减刑五个月。特提请你院审理裁定。</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此致</w:t>
      </w:r>
    </w:p>
    <w:p>
      <w:pPr>
        <w:keepNext w:val="0"/>
        <w:keepLines w:val="0"/>
        <w:pageBreakBefore w:val="0"/>
        <w:widowControl w:val="0"/>
        <w:kinsoku/>
        <w:wordWrap/>
        <w:overflowPunct/>
        <w:topLinePunct w:val="0"/>
        <w:autoSpaceDE/>
        <w:autoSpaceDN/>
        <w:bidi w:val="0"/>
        <w:adjustRightInd/>
        <w:snapToGrid/>
        <w:spacing w:line="380" w:lineRule="exact"/>
        <w:jc w:val="left"/>
        <w:textAlignment w:val="auto"/>
        <w:outlineLvl w:val="9"/>
        <w:rPr>
          <w:rFonts w:hint="eastAsia" w:ascii="仿宋_GB2312"/>
          <w:color w:val="auto"/>
          <w:szCs w:val="32"/>
          <w:lang w:val="en-US" w:eastAsia="zh-CN"/>
        </w:rPr>
      </w:pPr>
      <w:r>
        <w:rPr>
          <w:rFonts w:hint="eastAsia" w:ascii="仿宋_GB2312"/>
          <w:color w:val="auto"/>
          <w:szCs w:val="32"/>
          <w:lang w:val="en-US" w:eastAsia="zh-CN"/>
        </w:rPr>
        <w:t>福建省南平市中级人民法院</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hint="eastAsia" w:ascii="仿宋_GB2312"/>
          <w:color w:val="auto"/>
          <w:szCs w:val="32"/>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附件：⒈罪犯刘东琳卷宗二册</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⒉减刑建议书五份</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hint="eastAsia" w:ascii="仿宋_GB2312"/>
          <w:color w:val="auto"/>
          <w:szCs w:val="32"/>
          <w:lang w:val="en-US" w:eastAsia="zh-CN"/>
        </w:rPr>
      </w:pPr>
      <w:r>
        <w:rPr>
          <w:rFonts w:hint="eastAsia" w:ascii="仿宋_GB2312"/>
          <w:color w:val="auto"/>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both"/>
        <w:textAlignment w:val="auto"/>
        <w:outlineLvl w:val="9"/>
        <w:rPr>
          <w:rFonts w:hint="eastAsia" w:ascii="仿宋_GB2312"/>
          <w:color w:val="auto"/>
          <w:szCs w:val="32"/>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right"/>
        <w:textAlignment w:val="auto"/>
        <w:outlineLvl w:val="9"/>
        <w:rPr>
          <w:rFonts w:hint="eastAsia" w:ascii="仿宋_GB2312"/>
          <w:color w:val="auto"/>
          <w:szCs w:val="32"/>
          <w:lang w:val="en-US" w:eastAsia="zh-CN"/>
        </w:rPr>
      </w:pPr>
      <w:r>
        <w:rPr>
          <w:rFonts w:hint="eastAsia" w:ascii="仿宋_GB2312"/>
          <w:color w:val="auto"/>
          <w:szCs w:val="32"/>
          <w:lang w:val="en-US" w:eastAsia="zh-CN"/>
        </w:rPr>
        <w:t>福建省武夷山监狱</w:t>
      </w:r>
    </w:p>
    <w:p>
      <w:pPr>
        <w:keepNext w:val="0"/>
        <w:keepLines w:val="0"/>
        <w:pageBreakBefore w:val="0"/>
        <w:widowControl w:val="0"/>
        <w:kinsoku/>
        <w:wordWrap/>
        <w:overflowPunct/>
        <w:topLinePunct w:val="0"/>
        <w:autoSpaceDE/>
        <w:autoSpaceDN/>
        <w:bidi w:val="0"/>
        <w:adjustRightInd/>
        <w:snapToGrid/>
        <w:spacing w:line="380" w:lineRule="exact"/>
        <w:ind w:firstLine="640" w:firstLineChars="200"/>
        <w:jc w:val="right"/>
        <w:textAlignment w:val="auto"/>
        <w:outlineLvl w:val="9"/>
        <w:rPr>
          <w:rFonts w:hint="eastAsia" w:ascii="仿宋_GB2312"/>
          <w:color w:val="auto"/>
          <w:szCs w:val="32"/>
          <w:lang w:val="en-US" w:eastAsia="zh-CN"/>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10</w:t>
      </w:r>
      <w:r>
        <w:rPr>
          <w:rFonts w:hint="eastAsia"/>
          <w:color w:val="auto"/>
          <w:szCs w:val="32"/>
        </w:rPr>
        <w:t>月</w:t>
      </w:r>
      <w:r>
        <w:rPr>
          <w:rFonts w:hint="eastAsia"/>
          <w:color w:val="auto"/>
          <w:szCs w:val="32"/>
          <w:lang w:val="en-US" w:eastAsia="zh-CN"/>
        </w:rPr>
        <w:t>27</w:t>
      </w:r>
      <w:r>
        <w:rPr>
          <w:rFonts w:hint="eastAsia" w:ascii="仿宋_GB2312"/>
          <w:color w:val="auto"/>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FangSong_GB2312">
    <w:altName w:val="仿宋"/>
    <w:panose1 w:val="02010609030101010101"/>
    <w:charset w:val="86"/>
    <w:family w:val="modern"/>
    <w:pitch w:val="default"/>
    <w:sig w:usb0="00000000" w:usb1="00000000" w:usb2="00000000" w:usb3="00000000" w:csb0="00040000" w:csb1="00000000"/>
  </w:font>
  <w:font w:name="KaiTi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47579"/>
    <w:rsid w:val="01413797"/>
    <w:rsid w:val="01446735"/>
    <w:rsid w:val="03BC14C2"/>
    <w:rsid w:val="07687862"/>
    <w:rsid w:val="082334FA"/>
    <w:rsid w:val="08821C39"/>
    <w:rsid w:val="0A9F77E2"/>
    <w:rsid w:val="0B2668C1"/>
    <w:rsid w:val="0D4D32A5"/>
    <w:rsid w:val="0E0104C1"/>
    <w:rsid w:val="0F3B7C50"/>
    <w:rsid w:val="0FB70159"/>
    <w:rsid w:val="112E4B8A"/>
    <w:rsid w:val="116739E5"/>
    <w:rsid w:val="119A6202"/>
    <w:rsid w:val="11F75311"/>
    <w:rsid w:val="12B715EB"/>
    <w:rsid w:val="140F6F8F"/>
    <w:rsid w:val="15191DB6"/>
    <w:rsid w:val="16095EFB"/>
    <w:rsid w:val="1C6143E6"/>
    <w:rsid w:val="1C9D29B0"/>
    <w:rsid w:val="1D542A58"/>
    <w:rsid w:val="1DD02306"/>
    <w:rsid w:val="1F61434D"/>
    <w:rsid w:val="232B2088"/>
    <w:rsid w:val="24AF5985"/>
    <w:rsid w:val="275C5F4E"/>
    <w:rsid w:val="27A12001"/>
    <w:rsid w:val="29E74FEE"/>
    <w:rsid w:val="2D407B76"/>
    <w:rsid w:val="2D462528"/>
    <w:rsid w:val="2DF24729"/>
    <w:rsid w:val="2E0D5454"/>
    <w:rsid w:val="3057443A"/>
    <w:rsid w:val="33195490"/>
    <w:rsid w:val="346E1536"/>
    <w:rsid w:val="37376172"/>
    <w:rsid w:val="3B7A3A2D"/>
    <w:rsid w:val="3B9B0C18"/>
    <w:rsid w:val="3C7C1D2C"/>
    <w:rsid w:val="3E036E74"/>
    <w:rsid w:val="3FF46EF3"/>
    <w:rsid w:val="3FFE0905"/>
    <w:rsid w:val="40180D37"/>
    <w:rsid w:val="410D3EC6"/>
    <w:rsid w:val="4239675C"/>
    <w:rsid w:val="426D62FB"/>
    <w:rsid w:val="43BB11FE"/>
    <w:rsid w:val="46387B3B"/>
    <w:rsid w:val="48351C89"/>
    <w:rsid w:val="48AC3534"/>
    <w:rsid w:val="48E86422"/>
    <w:rsid w:val="48EE4BC6"/>
    <w:rsid w:val="49067BD4"/>
    <w:rsid w:val="4A411C4F"/>
    <w:rsid w:val="4A7466CE"/>
    <w:rsid w:val="4AC84F77"/>
    <w:rsid w:val="4D145211"/>
    <w:rsid w:val="4D5068CD"/>
    <w:rsid w:val="4E1B0AC9"/>
    <w:rsid w:val="504F2CF3"/>
    <w:rsid w:val="51563986"/>
    <w:rsid w:val="532669BF"/>
    <w:rsid w:val="54110AAC"/>
    <w:rsid w:val="546D3136"/>
    <w:rsid w:val="54DB79A7"/>
    <w:rsid w:val="557119D4"/>
    <w:rsid w:val="55AB7AB4"/>
    <w:rsid w:val="572A26C5"/>
    <w:rsid w:val="586C6112"/>
    <w:rsid w:val="58E1265B"/>
    <w:rsid w:val="5BBD2AAC"/>
    <w:rsid w:val="5DFE1520"/>
    <w:rsid w:val="5FB62599"/>
    <w:rsid w:val="627D43BC"/>
    <w:rsid w:val="628C6369"/>
    <w:rsid w:val="65237E49"/>
    <w:rsid w:val="672D016B"/>
    <w:rsid w:val="6B567AA9"/>
    <w:rsid w:val="6B913BF3"/>
    <w:rsid w:val="6C88364A"/>
    <w:rsid w:val="6CC75C37"/>
    <w:rsid w:val="6E0B3507"/>
    <w:rsid w:val="6E967EBF"/>
    <w:rsid w:val="6ED61FBC"/>
    <w:rsid w:val="71387EAD"/>
    <w:rsid w:val="71E04E9C"/>
    <w:rsid w:val="71F10454"/>
    <w:rsid w:val="726E55EE"/>
    <w:rsid w:val="733564FA"/>
    <w:rsid w:val="73783AA1"/>
    <w:rsid w:val="74B635D3"/>
    <w:rsid w:val="74FE2889"/>
    <w:rsid w:val="75C27ADD"/>
    <w:rsid w:val="766A2DD4"/>
    <w:rsid w:val="77FE3FAB"/>
    <w:rsid w:val="7A2179A1"/>
    <w:rsid w:val="7CA95EC6"/>
    <w:rsid w:val="7DDB7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2024-01-06T06:58:00Z</dcterms:created>
  <dc:creator>Administrator</dc:creator>
  <cp:lastModifiedBy>王清金</cp:lastModifiedBy>
  <dcterms:modified xsi:type="dcterms:W3CDTF">2025-10-27T11:57:07Z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CE043E164207474B83F3E6D8F89C73D0</vt:lpwstr>
  </property>
</Properties>
</file>