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800" w:lineRule="exact"/>
        <w:ind w:firstLine="2640" w:firstLineChars="60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line="800" w:lineRule="exact"/>
        <w:ind w:firstLine="2200" w:firstLineChars="500"/>
        <w:jc w:val="both"/>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减</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刑 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6"/>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FangSong_GB2312"/>
          <w:b/>
          <w:bCs/>
          <w:color w:val="auto"/>
          <w:sz w:val="28"/>
        </w:rPr>
      </w:pPr>
      <w:r>
        <w:rPr>
          <w:rFonts w:hint="eastAsia" w:eastAsia="KaiTi_GB2312" w:cs="KaiTi_GB2312"/>
          <w:color w:val="auto"/>
          <w:szCs w:val="32"/>
        </w:rPr>
        <w:t>〔</w:t>
      </w:r>
      <w:r>
        <w:rPr>
          <w:rFonts w:ascii="Times New Roman" w:hAnsi="Times New Roman" w:eastAsia="KaiTi_GB2312" w:cs="KaiTi_GB2312"/>
          <w:color w:val="auto"/>
          <w:szCs w:val="32"/>
        </w:rPr>
        <w:t>20</w:t>
      </w:r>
      <w:r>
        <w:rPr>
          <w:rFonts w:hint="eastAsia" w:eastAsia="KaiTi_GB2312"/>
          <w:color w:val="auto"/>
          <w:szCs w:val="32"/>
          <w:lang w:val="en-US" w:eastAsia="zh-CN"/>
        </w:rPr>
        <w:t>25</w:t>
      </w:r>
      <w:r>
        <w:rPr>
          <w:rFonts w:hint="eastAsia" w:eastAsia="KaiTi_GB2312" w:cs="KaiTi_GB2312"/>
          <w:color w:val="auto"/>
          <w:szCs w:val="32"/>
        </w:rPr>
        <w:t>〕闽</w:t>
      </w:r>
      <w:r>
        <w:rPr>
          <w:rFonts w:hint="eastAsia" w:eastAsia="KaiTi_GB2312" w:cs="KaiTi_GB2312"/>
          <w:color w:val="auto"/>
          <w:szCs w:val="32"/>
          <w:lang w:val="en-US" w:eastAsia="zh-CN"/>
        </w:rPr>
        <w:t>武</w:t>
      </w:r>
      <w:r>
        <w:rPr>
          <w:rFonts w:hint="eastAsia" w:eastAsia="KaiTi_GB2312" w:cs="KaiTi_GB2312"/>
          <w:color w:val="auto"/>
          <w:szCs w:val="32"/>
        </w:rPr>
        <w:t>狱减字第</w:t>
      </w:r>
      <w:r>
        <w:rPr>
          <w:rFonts w:hint="eastAsia" w:eastAsia="KaiTi_GB2312" w:cs="KaiTi_GB2312"/>
          <w:color w:val="auto"/>
          <w:szCs w:val="32"/>
          <w:lang w:val="en-US" w:eastAsia="zh-CN"/>
        </w:rPr>
        <w:t>678</w:t>
      </w:r>
      <w:r>
        <w:rPr>
          <w:rFonts w:hint="eastAsia" w:eastAsia="KaiTi_GB2312" w:cs="KaiTi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罪犯林国富，男，1968年9月11日出生，汉族，高中文化</w:t>
      </w:r>
      <w:bookmarkStart w:id="0" w:name="_GoBack"/>
      <w:bookmarkEnd w:id="0"/>
      <w:r>
        <w:rPr>
          <w:rFonts w:hint="eastAsia" w:ascii="仿宋_GB2312"/>
          <w:color w:val="auto"/>
          <w:szCs w:val="32"/>
          <w:lang w:val="en-US" w:eastAsia="zh-CN"/>
        </w:rPr>
        <w:t>，捕前系无业。2004年10月27日因犯贩卖毒品罪被云南省昆明市中级人民法院判处有期徒刑十一年，于2010年8月5日刑满释放。系累犯、毒品再犯。现在武夷山监狱第一监区二分监区服刑。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default" w:ascii="仿宋_GB2312"/>
          <w:color w:val="auto"/>
          <w:szCs w:val="32"/>
          <w:lang w:val="en-US" w:eastAsia="zh-CN"/>
        </w:rPr>
      </w:pPr>
      <w:r>
        <w:rPr>
          <w:rFonts w:hint="eastAsia" w:ascii="仿宋_GB2312"/>
          <w:color w:val="auto"/>
          <w:szCs w:val="32"/>
          <w:lang w:val="en-US" w:eastAsia="zh-CN"/>
        </w:rPr>
        <w:t>福建省南平市延平区人民法院于2013年12月16日作出（2013)延刑初字第277号刑事判决，以被告人林国富犯贩卖毒品罪，判处有期徒刑十五年，并处没收个人财产人民币50000元；非法所得250元继续予以追缴，上缴国库。被告人不服，提出上诉。福建省南平市中级人民法院于2014年3月17日作出（2014)南刑终字第20号刑事裁定，驳回上诉，维持原判。判决发生法律效力后于2014年3月26日交付武夷山监狱执行（2013年7月12日起至2028年7月11日止）。福建省南平市中级人民法院于2017年5月8日作出（2017)闽07刑更205号刑事裁定，对其减去有期徒刑五个月；于2019年3月27日作出（2019)闽07刑更339号刑事裁定，对其减去有期徒刑五个月十五天。于2021年8月13日作出（2021）闽07刑更862号刑事裁定，对其减去有期徒刑五个月；于2023年10月27日作出（2023）闽07刑更1306号刑事裁定，对其减去有期徒刑八个月。裁定书送达时间2023年10月27日（刑期至2013年7月12日起至2026年7月27日止）。现属普管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hAns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w:t>
      </w:r>
      <w:r>
        <w:rPr>
          <w:rFonts w:hint="eastAsia" w:ascii="仿宋_GB2312" w:hAnsi="宋体"/>
          <w:iCs/>
          <w:color w:val="auto"/>
          <w:kern w:val="0"/>
          <w:szCs w:val="32"/>
          <w:lang w:val="en-US" w:eastAsia="zh-CN"/>
        </w:rPr>
        <w:t>上次</w:t>
      </w:r>
      <w:r>
        <w:rPr>
          <w:rFonts w:hint="eastAsia" w:ascii="仿宋_GB2312" w:hAnsi="宋体"/>
          <w:iCs/>
          <w:color w:val="auto"/>
          <w:kern w:val="0"/>
          <w:szCs w:val="32"/>
          <w:lang w:val="zh-CN"/>
        </w:rPr>
        <w:t>减刑以来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6"/>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6"/>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hint="eastAsia"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6"/>
        <w:keepNext w:val="0"/>
        <w:keepLines w:val="0"/>
        <w:pageBreakBefore w:val="0"/>
        <w:widowControl w:val="0"/>
        <w:kinsoku/>
        <w:wordWrap/>
        <w:overflowPunct/>
        <w:topLinePunct w:val="0"/>
        <w:autoSpaceDE w:val="0"/>
        <w:autoSpaceDN w:val="0"/>
        <w:bidi w:val="0"/>
        <w:adjustRightInd w:val="0"/>
        <w:spacing w:line="430" w:lineRule="exact"/>
        <w:ind w:left="0" w:leftChars="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w:t>
      </w:r>
    </w:p>
    <w:p>
      <w:pPr>
        <w:pStyle w:val="6"/>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6"/>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6"/>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_GB2312" w:eastAsia="仿宋_GB2312" w:cs="仿宋_GB2312"/>
          <w:bCs/>
          <w:color w:val="auto"/>
          <w:szCs w:val="32"/>
          <w:lang w:val="en-US" w:eastAsia="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该犯上次评定表扬剩余考核积分66.5分，本轮考核期2023年7月1日至2025年7月累计获考核积分2699分，合计获得考核积分2765.5分，表扬4次；间隔期2023年10月27日至2025年7月，获考核积分2235分。考核期内无违规扣分。</w:t>
      </w:r>
    </w:p>
    <w:p>
      <w:pPr>
        <w:pStyle w:val="6"/>
        <w:keepNext w:val="0"/>
        <w:keepLines w:val="0"/>
        <w:pageBreakBefore w:val="0"/>
        <w:widowControl w:val="0"/>
        <w:kinsoku/>
        <w:wordWrap/>
        <w:overflowPunct/>
        <w:topLinePunct w:val="0"/>
        <w:bidi w:val="0"/>
        <w:spacing w:line="430" w:lineRule="exact"/>
        <w:ind w:firstLine="640"/>
        <w:jc w:val="both"/>
        <w:textAlignment w:val="auto"/>
        <w:rPr>
          <w:rFonts w:hint="default" w:ascii="仿宋_GB2312" w:hAnsi="仿宋_GB2312" w:cs="仿宋_GB2312"/>
          <w:bCs/>
          <w:color w:val="auto"/>
          <w:szCs w:val="32"/>
          <w:lang w:val="en-US" w:eastAsia="zh-CN"/>
        </w:rPr>
      </w:pPr>
      <w:r>
        <w:rPr>
          <w:rFonts w:hint="eastAsia" w:ascii="仿宋_GB2312" w:hAnsi="仿宋_GB2312" w:cs="仿宋_GB2312"/>
          <w:bCs/>
          <w:color w:val="auto"/>
          <w:szCs w:val="32"/>
          <w:lang w:val="en-US" w:eastAsia="zh-CN"/>
        </w:rPr>
        <w:t>该犯原判财产性判项已履行人民币50250元；其中本次提请通过监狱转账代缴没收个人财产人民币7500元，违法所得人民币250元。财产性判项已全部履行。</w:t>
      </w:r>
    </w:p>
    <w:p>
      <w:pPr>
        <w:pStyle w:val="6"/>
        <w:keepNext w:val="0"/>
        <w:keepLines w:val="0"/>
        <w:pageBreakBefore w:val="0"/>
        <w:widowControl w:val="0"/>
        <w:kinsoku/>
        <w:wordWrap/>
        <w:overflowPunct/>
        <w:topLinePunct w:val="0"/>
        <w:bidi w:val="0"/>
        <w:spacing w:line="430" w:lineRule="exact"/>
        <w:ind w:firstLine="640"/>
        <w:jc w:val="both"/>
        <w:textAlignment w:val="auto"/>
        <w:rPr>
          <w:rFonts w:hint="default" w:ascii="仿宋_GB2312" w:hAnsi="仿宋_GB2312" w:cs="仿宋_GB2312"/>
          <w:bCs/>
          <w:color w:val="auto"/>
          <w:szCs w:val="32"/>
          <w:lang w:val="en-US" w:eastAsia="zh-CN"/>
        </w:rPr>
      </w:pPr>
      <w:r>
        <w:rPr>
          <w:rFonts w:hint="eastAsia" w:ascii="仿宋_GB2312" w:hAnsi="仿宋_GB2312" w:cs="仿宋_GB2312"/>
          <w:bCs/>
          <w:color w:val="auto"/>
          <w:szCs w:val="32"/>
          <w:lang w:val="en-US" w:eastAsia="zh-CN"/>
        </w:rPr>
        <w:t>该犯属于累犯、毒品再犯，属于从严掌握减刑对象，因此提请减刑幅度扣减一个月。</w:t>
      </w:r>
    </w:p>
    <w:p>
      <w:pPr>
        <w:spacing w:line="430" w:lineRule="exact"/>
        <w:ind w:firstLine="640" w:firstLineChars="200"/>
        <w:rPr>
          <w:rFonts w:hint="eastAsia" w:ascii="仿宋_GB2312"/>
          <w:color w:val="auto"/>
          <w:sz w:val="32"/>
          <w:szCs w:val="24"/>
        </w:rPr>
      </w:pPr>
      <w:r>
        <w:rPr>
          <w:rFonts w:hint="eastAsia" w:ascii="仿宋_GB2312"/>
          <w:color w:val="auto"/>
          <w:sz w:val="32"/>
          <w:szCs w:val="24"/>
        </w:rPr>
        <w:t>本案于</w:t>
      </w:r>
      <w:r>
        <w:rPr>
          <w:rFonts w:ascii="仿宋_GB2312" w:hAnsi="宋体" w:eastAsia="仿宋_GB2312" w:cs="仿宋_GB2312"/>
          <w:i w:val="0"/>
          <w:iCs w:val="0"/>
          <w:caps w:val="0"/>
          <w:color w:val="000000"/>
          <w:spacing w:val="0"/>
          <w:sz w:val="31"/>
          <w:szCs w:val="31"/>
          <w:shd w:val="clear" w:fill="FFFFFF"/>
        </w:rPr>
        <w:t>202</w:t>
      </w:r>
      <w:r>
        <w:rPr>
          <w:rFonts w:hint="default" w:ascii="仿宋_GB2312" w:hAnsi="宋体" w:eastAsia="仿宋_GB2312" w:cs="仿宋_GB2312"/>
          <w:i w:val="0"/>
          <w:iCs w:val="0"/>
          <w:caps w:val="0"/>
          <w:color w:val="000000"/>
          <w:spacing w:val="0"/>
          <w:sz w:val="31"/>
          <w:szCs w:val="31"/>
          <w:shd w:val="clear" w:fill="FFFFFF"/>
        </w:rPr>
        <w:t>5年10月16日至2025年10月22日</w:t>
      </w:r>
      <w:r>
        <w:rPr>
          <w:rFonts w:hint="eastAsia" w:ascii="仿宋_GB2312"/>
          <w:color w:val="auto"/>
          <w:sz w:val="32"/>
          <w:szCs w:val="24"/>
        </w:rPr>
        <w:t>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val="en-US" w:eastAsia="zh-CN"/>
        </w:rPr>
        <w:t>林国富</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六</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6"/>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6"/>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6"/>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ascii="仿宋_GB2312" w:hAnsi="仿宋_GB2312" w:cs="仿宋_GB2312"/>
          <w:color w:val="auto"/>
          <w:szCs w:val="32"/>
          <w:lang w:val="en-US" w:eastAsia="zh-CN"/>
        </w:rPr>
        <w:t>林国富</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6"/>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10</w:t>
      </w:r>
      <w:r>
        <w:rPr>
          <w:rFonts w:hint="eastAsia"/>
          <w:color w:val="auto"/>
          <w:szCs w:val="32"/>
        </w:rPr>
        <w:t>月</w:t>
      </w:r>
      <w:r>
        <w:rPr>
          <w:rFonts w:hint="eastAsia"/>
          <w:color w:val="auto"/>
          <w:szCs w:val="32"/>
          <w:lang w:val="en-US" w:eastAsia="zh-CN"/>
        </w:rPr>
        <w:t>27</w:t>
      </w:r>
      <w:r>
        <w:rPr>
          <w:rFonts w:hint="eastAsia"/>
          <w:color w:val="auto"/>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FangSong_GB2312">
    <w:altName w:val="仿宋"/>
    <w:panose1 w:val="02010609030101010101"/>
    <w:charset w:val="86"/>
    <w:family w:val="modern"/>
    <w:pitch w:val="default"/>
    <w:sig w:usb0="00000000" w:usb1="00000000" w:usb2="00000000" w:usb3="00000000" w:csb0="00040000" w:csb1="00000000"/>
  </w:font>
  <w:font w:name="KaiTi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6379F"/>
    <w:rsid w:val="064D1519"/>
    <w:rsid w:val="08D70178"/>
    <w:rsid w:val="0AD92DB7"/>
    <w:rsid w:val="0CC56B3B"/>
    <w:rsid w:val="14A8792E"/>
    <w:rsid w:val="18421428"/>
    <w:rsid w:val="1EC859F7"/>
    <w:rsid w:val="1EE8331A"/>
    <w:rsid w:val="218F7F6A"/>
    <w:rsid w:val="22FE270B"/>
    <w:rsid w:val="29EB606A"/>
    <w:rsid w:val="30A93FEC"/>
    <w:rsid w:val="317B02ED"/>
    <w:rsid w:val="31FA4215"/>
    <w:rsid w:val="324B5EE6"/>
    <w:rsid w:val="3CE53964"/>
    <w:rsid w:val="3F9D2C33"/>
    <w:rsid w:val="44A96D28"/>
    <w:rsid w:val="66F12A8E"/>
    <w:rsid w:val="67E8579F"/>
    <w:rsid w:val="69062B7F"/>
    <w:rsid w:val="69470CB2"/>
    <w:rsid w:val="6ABB07F6"/>
    <w:rsid w:val="6C0F53C6"/>
    <w:rsid w:val="6C6129E3"/>
    <w:rsid w:val="72873B5E"/>
    <w:rsid w:val="7C195159"/>
    <w:rsid w:val="7D05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character" w:styleId="5">
    <w:name w:val="Emphasis"/>
    <w:basedOn w:val="4"/>
    <w:qFormat/>
    <w:uiPriority w:val="0"/>
    <w:rPr>
      <w:i/>
    </w:r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王清金</cp:lastModifiedBy>
  <cp:lastPrinted>2025-09-23T23:54:00Z</cp:lastPrinted>
  <dcterms:modified xsi:type="dcterms:W3CDTF">2025-10-27T11:44:33Z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6CD3447B24D34F5D8F616A18C6AEB7CA</vt:lpwstr>
  </property>
</Properties>
</file>