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3E1ED">
      <w:pPr>
        <w:pStyle w:val="6"/>
        <w:adjustRightInd/>
        <w:snapToGrid/>
        <w:spacing w:beforeLines="0" w:after="0" w:afterLines="0"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14:paraId="62C81470">
      <w:pPr>
        <w:pStyle w:val="6"/>
        <w:adjustRightInd/>
        <w:snapToGrid/>
        <w:spacing w:beforeLines="0" w:after="0" w:afterLines="0"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14:paraId="3264CEE3">
      <w:pPr>
        <w:pStyle w:val="6"/>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ascii="仿宋_GB2312"/>
          <w:b/>
          <w:bCs/>
          <w:color w:val="auto"/>
          <w:sz w:val="28"/>
        </w:rPr>
      </w:pPr>
      <w:r>
        <w:rPr>
          <w:rFonts w:hint="eastAsia" w:eastAsia="楷体_GB2312" w:cs="楷体_GB2312"/>
          <w:color w:val="auto"/>
          <w:sz w:val="32"/>
          <w:szCs w:val="32"/>
        </w:rPr>
        <w:t>〔</w:t>
      </w:r>
      <w:r>
        <w:rPr>
          <w:rFonts w:ascii="Times New Roman" w:hAnsi="Times New Roman" w:eastAsia="楷体_GB2312" w:cs="楷体_GB2312"/>
          <w:color w:val="auto"/>
          <w:sz w:val="32"/>
          <w:szCs w:val="32"/>
        </w:rPr>
        <w:t>20</w:t>
      </w:r>
      <w:r>
        <w:rPr>
          <w:rFonts w:hint="eastAsia" w:eastAsia="楷体_GB2312"/>
          <w:color w:val="auto"/>
          <w:sz w:val="32"/>
          <w:szCs w:val="32"/>
          <w:lang w:val="en-US" w:eastAsia="zh-CN"/>
        </w:rPr>
        <w:t>26</w:t>
      </w:r>
      <w:r>
        <w:rPr>
          <w:rFonts w:hint="eastAsia" w:eastAsia="楷体_GB2312" w:cs="楷体_GB2312"/>
          <w:color w:val="auto"/>
          <w:sz w:val="32"/>
          <w:szCs w:val="32"/>
        </w:rPr>
        <w:t>〕闽</w:t>
      </w:r>
      <w:r>
        <w:rPr>
          <w:rFonts w:hint="eastAsia" w:eastAsia="楷体_GB2312" w:cs="楷体_GB2312"/>
          <w:color w:val="auto"/>
          <w:sz w:val="32"/>
          <w:szCs w:val="32"/>
          <w:lang w:val="en-US" w:eastAsia="zh-CN"/>
        </w:rPr>
        <w:t>武</w:t>
      </w:r>
      <w:r>
        <w:rPr>
          <w:rFonts w:hint="eastAsia" w:eastAsia="楷体_GB2312" w:cs="楷体_GB2312"/>
          <w:color w:val="auto"/>
          <w:sz w:val="32"/>
          <w:szCs w:val="32"/>
        </w:rPr>
        <w:t>狱减字第</w:t>
      </w:r>
      <w:r>
        <w:rPr>
          <w:rFonts w:hint="eastAsia" w:eastAsia="楷体_GB2312"/>
          <w:color w:val="auto"/>
          <w:sz w:val="32"/>
          <w:szCs w:val="32"/>
          <w:lang w:val="en-US" w:eastAsia="zh-CN"/>
        </w:rPr>
        <w:t>189</w:t>
      </w:r>
      <w:r>
        <w:rPr>
          <w:rFonts w:hint="eastAsia" w:eastAsia="楷体_GB2312" w:cs="楷体_GB2312"/>
          <w:color w:val="auto"/>
          <w:sz w:val="32"/>
          <w:szCs w:val="32"/>
        </w:rPr>
        <w:t>号</w:t>
      </w:r>
    </w:p>
    <w:p w14:paraId="41D06DD1">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val="en-US" w:eastAsia="zh-CN"/>
        </w:rPr>
      </w:pPr>
      <w:r>
        <w:rPr>
          <w:rFonts w:hint="eastAsia" w:ascii="仿宋_GB2312"/>
          <w:color w:val="auto"/>
          <w:sz w:val="30"/>
          <w:szCs w:val="30"/>
          <w:lang w:val="en-US" w:eastAsia="zh-CN"/>
        </w:rPr>
        <w:t>罪犯周帮海</w:t>
      </w:r>
      <w:r>
        <w:rPr>
          <w:rFonts w:hint="eastAsia" w:ascii="仿宋_GB2312"/>
          <w:color w:val="auto"/>
          <w:sz w:val="30"/>
          <w:szCs w:val="30"/>
          <w:lang w:val="en-US" w:eastAsia="zh-CN"/>
        </w:rPr>
        <w:fldChar w:fldCharType="begin"/>
      </w:r>
      <w:r>
        <w:rPr>
          <w:rFonts w:hint="eastAsia" w:ascii="仿宋_GB2312"/>
          <w:color w:val="auto"/>
          <w:sz w:val="30"/>
          <w:szCs w:val="30"/>
          <w:lang w:val="en-US" w:eastAsia="zh-CN"/>
        </w:rPr>
        <w:instrText xml:space="preserve"> AUTOTEXTLIST  \* MERGEFORMAT </w:instrText>
      </w:r>
      <w:r>
        <w:rPr>
          <w:rFonts w:hint="eastAsia" w:ascii="仿宋_GB2312"/>
          <w:color w:val="auto"/>
          <w:sz w:val="30"/>
          <w:szCs w:val="30"/>
          <w:lang w:val="en-US" w:eastAsia="zh-CN"/>
        </w:rPr>
        <w:fldChar w:fldCharType="end"/>
      </w:r>
      <w:r>
        <w:rPr>
          <w:rFonts w:hint="eastAsia" w:ascii="仿宋_GB2312"/>
          <w:color w:val="auto"/>
          <w:sz w:val="30"/>
          <w:szCs w:val="30"/>
          <w:lang w:val="en-US" w:eastAsia="zh-CN"/>
        </w:rPr>
        <w:t>，绰号“海老大”，男，1968年4月1日出生，汉族，初中文化，户籍所在地安徽省铜陵市铜官山区</w:t>
      </w:r>
      <w:bookmarkStart w:id="0" w:name="_GoBack"/>
      <w:bookmarkEnd w:id="0"/>
      <w:r>
        <w:rPr>
          <w:rFonts w:hint="eastAsia" w:ascii="仿宋_GB2312"/>
          <w:color w:val="auto"/>
          <w:sz w:val="30"/>
          <w:szCs w:val="30"/>
          <w:lang w:val="en-US" w:eastAsia="zh-CN"/>
        </w:rPr>
        <w:t>，捕前系个体工商户。现在福建省武夷山监狱五监区（大队）十四分监区（中队）服刑。</w:t>
      </w:r>
    </w:p>
    <w:p w14:paraId="73CB0A41">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eastAsia="zh-CN"/>
        </w:rPr>
      </w:pPr>
      <w:r>
        <w:rPr>
          <w:rFonts w:hint="eastAsia" w:ascii="仿宋_GB2312"/>
          <w:color w:val="auto"/>
          <w:sz w:val="30"/>
          <w:szCs w:val="30"/>
          <w:lang w:val="en-US" w:eastAsia="zh-CN"/>
        </w:rPr>
        <w:t>安徽省芜湖市镜湖区人民法院于2017年12月21日作出(2017)皖0202刑初60号刑事判决，以被告人周帮海犯组织、领导黑社会性质组织罪，判处有期徒刑十年，并处没收个人全部财产；犯开设赌场罪，判处有期徒刑六年，并处罚金人民币三十万元；犯故意伤害罪，判处有期徒刑四年；犯寻衅滋事罪，判处有期徒刑五年，并处罚金人民币三万元；决定执行有期徒刑二十年，并处没收个人全部财产。扣押在案的被告人周帮海所有的现金人民币七万九千九百元系非法所得，予以追缴；对各被告人的违法所得继续予以追缴。被告人不服，提出上诉。安徽省芜湖市中级人民法院于2018年2月8日作出（2018)皖02刑终57号刑事裁定，驳回上诉，维持原判。刑期自2016年4月13日起至2036年4月7日止</w:t>
      </w:r>
      <w:r>
        <w:rPr>
          <w:rFonts w:hint="eastAsia" w:ascii="仿宋_GB2312"/>
          <w:color w:val="auto"/>
          <w:sz w:val="30"/>
          <w:szCs w:val="30"/>
        </w:rPr>
        <w:t>。</w:t>
      </w:r>
      <w:r>
        <w:rPr>
          <w:rFonts w:hint="eastAsia" w:ascii="仿宋_GB2312"/>
          <w:color w:val="auto"/>
          <w:sz w:val="30"/>
          <w:szCs w:val="30"/>
          <w:lang w:val="en-US" w:eastAsia="zh-CN"/>
        </w:rPr>
        <w:t>于2018年3月7日交付安徽省合肥监狱执行刑罚，又于2018年4月13日调入安徽省巢湖监狱执行刑罚，又于2018年12月24日调入福建省武夷山监狱执行刑罚。福建省南平市中级人民法院于2020年11月26日作出（2020）闽07刑更1383号刑事裁定，对其不予减刑。于2024年7月25日作出（2024）闽07刑更906号刑事裁定，对其不予减刑，裁定书送达时间2024年7月25日。现</w:t>
      </w:r>
      <w:r>
        <w:rPr>
          <w:rFonts w:hint="eastAsia" w:ascii="仿宋_GB2312"/>
          <w:color w:val="auto"/>
          <w:sz w:val="30"/>
          <w:szCs w:val="30"/>
          <w:lang w:eastAsia="zh-CN"/>
        </w:rPr>
        <w:t>属</w:t>
      </w:r>
      <w:r>
        <w:rPr>
          <w:rFonts w:hint="eastAsia" w:ascii="仿宋_GB2312"/>
          <w:color w:val="auto"/>
          <w:sz w:val="30"/>
          <w:szCs w:val="30"/>
          <w:lang w:val="en-US" w:eastAsia="zh-CN"/>
        </w:rPr>
        <w:t>普管</w:t>
      </w:r>
      <w:r>
        <w:rPr>
          <w:rFonts w:hint="eastAsia" w:ascii="仿宋_GB2312"/>
          <w:color w:val="auto"/>
          <w:sz w:val="30"/>
          <w:szCs w:val="30"/>
          <w:lang w:eastAsia="zh-CN"/>
        </w:rPr>
        <w:t>级罪犯。</w:t>
      </w:r>
    </w:p>
    <w:p w14:paraId="61DCD407">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eastAsia="zh-CN"/>
        </w:rPr>
      </w:pPr>
      <w:r>
        <w:rPr>
          <w:rFonts w:hint="eastAsia" w:ascii="仿宋_GB2312"/>
          <w:color w:val="auto"/>
          <w:sz w:val="30"/>
          <w:szCs w:val="30"/>
          <w:lang w:eastAsia="zh-CN"/>
        </w:rPr>
        <w:t>该犯</w:t>
      </w:r>
      <w:r>
        <w:rPr>
          <w:rFonts w:hint="eastAsia" w:ascii="仿宋_GB2312"/>
          <w:color w:val="auto"/>
          <w:sz w:val="30"/>
          <w:szCs w:val="30"/>
          <w:lang w:val="zh-CN" w:eastAsia="zh-CN"/>
        </w:rPr>
        <w:t>自入监以来</w:t>
      </w:r>
      <w:r>
        <w:rPr>
          <w:rFonts w:hint="eastAsia" w:ascii="仿宋_GB2312"/>
          <w:color w:val="auto"/>
          <w:sz w:val="30"/>
          <w:szCs w:val="30"/>
          <w:lang w:eastAsia="zh-CN"/>
        </w:rPr>
        <w:t>确有悔改表现，具体事实如下：</w:t>
      </w:r>
    </w:p>
    <w:p w14:paraId="4BB27733">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val="en-US" w:eastAsia="zh-CN"/>
        </w:rPr>
      </w:pPr>
      <w:r>
        <w:rPr>
          <w:rFonts w:hint="eastAsia" w:ascii="仿宋_GB2312"/>
          <w:color w:val="auto"/>
          <w:sz w:val="30"/>
          <w:szCs w:val="30"/>
          <w:lang w:eastAsia="zh-CN"/>
        </w:rPr>
        <w:t>认罪悔罪：</w:t>
      </w:r>
      <w:r>
        <w:rPr>
          <w:rFonts w:hint="eastAsia" w:ascii="仿宋_GB2312"/>
          <w:color w:val="auto"/>
          <w:sz w:val="30"/>
          <w:szCs w:val="30"/>
          <w:lang w:val="en-US" w:eastAsia="zh-CN"/>
        </w:rPr>
        <w:t>能服从法院判决，自书认罪悔罪书。</w:t>
      </w:r>
    </w:p>
    <w:p w14:paraId="178728A5">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rPr>
          <w:rFonts w:hint="eastAsia" w:ascii="仿宋_GB2312"/>
          <w:color w:val="auto"/>
          <w:sz w:val="30"/>
          <w:szCs w:val="30"/>
          <w:lang w:val="zh-CN" w:eastAsia="zh-CN"/>
        </w:rPr>
      </w:pPr>
      <w:r>
        <w:rPr>
          <w:rFonts w:hint="eastAsia" w:ascii="仿宋_GB2312"/>
          <w:color w:val="auto"/>
          <w:sz w:val="30"/>
          <w:szCs w:val="30"/>
          <w:lang w:eastAsia="zh-CN"/>
        </w:rPr>
        <w:t>遵守监规：</w:t>
      </w:r>
      <w:r>
        <w:rPr>
          <w:rFonts w:hint="eastAsia" w:ascii="仿宋_GB2312"/>
          <w:color w:val="auto"/>
          <w:sz w:val="30"/>
          <w:szCs w:val="30"/>
          <w:lang w:val="zh-CN" w:eastAsia="zh-CN"/>
        </w:rPr>
        <w:t>在服刑期间虽有违规行为，经民警教育，能认识错误，继续安心改造，规范行为，遵守法律法规及监规纪律，接受教育改造。</w:t>
      </w:r>
    </w:p>
    <w:p w14:paraId="33DD8BD5">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val="zh-CN" w:eastAsia="zh-CN"/>
        </w:rPr>
      </w:pPr>
      <w:r>
        <w:rPr>
          <w:rFonts w:hint="eastAsia" w:ascii="仿宋_GB2312"/>
          <w:color w:val="auto"/>
          <w:sz w:val="30"/>
          <w:szCs w:val="30"/>
          <w:lang w:val="zh-CN" w:eastAsia="zh-CN"/>
        </w:rPr>
        <w:t>学习情况：能参加</w:t>
      </w:r>
      <w:r>
        <w:rPr>
          <w:rFonts w:hint="eastAsia" w:ascii="仿宋_GB2312"/>
          <w:color w:val="auto"/>
          <w:sz w:val="30"/>
          <w:szCs w:val="30"/>
          <w:lang w:eastAsia="zh-CN"/>
        </w:rPr>
        <w:t>思想、文化、职业技术</w:t>
      </w:r>
      <w:r>
        <w:rPr>
          <w:rFonts w:hint="eastAsia" w:ascii="仿宋_GB2312"/>
          <w:color w:val="auto"/>
          <w:sz w:val="30"/>
          <w:szCs w:val="30"/>
          <w:lang w:val="en-US" w:eastAsia="zh-CN"/>
        </w:rPr>
        <w:t>教育</w:t>
      </w:r>
      <w:r>
        <w:rPr>
          <w:rFonts w:hint="eastAsia" w:ascii="仿宋_GB2312"/>
          <w:color w:val="auto"/>
          <w:sz w:val="30"/>
          <w:szCs w:val="30"/>
          <w:lang w:val="zh-CN" w:eastAsia="zh-CN"/>
        </w:rPr>
        <w:t>。</w:t>
      </w:r>
    </w:p>
    <w:p w14:paraId="1F2EE398">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val="zh-CN" w:eastAsia="zh-CN"/>
        </w:rPr>
      </w:pPr>
      <w:r>
        <w:rPr>
          <w:rFonts w:hint="eastAsia" w:ascii="仿宋_GB2312"/>
          <w:color w:val="auto"/>
          <w:sz w:val="30"/>
          <w:szCs w:val="30"/>
          <w:lang w:val="zh-CN" w:eastAsia="zh-CN"/>
        </w:rPr>
        <w:t>劳动改造：能参加劳动，努力完成</w:t>
      </w:r>
      <w:r>
        <w:rPr>
          <w:rFonts w:hint="eastAsia" w:ascii="仿宋_GB2312"/>
          <w:color w:val="auto"/>
          <w:sz w:val="30"/>
          <w:szCs w:val="30"/>
          <w:lang w:val="en-US" w:eastAsia="zh-CN"/>
        </w:rPr>
        <w:t>劳动</w:t>
      </w:r>
      <w:r>
        <w:rPr>
          <w:rFonts w:hint="eastAsia" w:ascii="仿宋_GB2312"/>
          <w:color w:val="auto"/>
          <w:sz w:val="30"/>
          <w:szCs w:val="30"/>
          <w:lang w:val="zh-CN" w:eastAsia="zh-CN"/>
        </w:rPr>
        <w:t>任务。</w:t>
      </w:r>
    </w:p>
    <w:p w14:paraId="1C373906">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val="zh-CN" w:eastAsia="zh-CN"/>
        </w:rPr>
      </w:pPr>
      <w:r>
        <w:rPr>
          <w:rFonts w:hint="eastAsia" w:ascii="仿宋_GB2312"/>
          <w:color w:val="auto"/>
          <w:sz w:val="30"/>
          <w:szCs w:val="30"/>
          <w:lang w:val="zh-CN" w:eastAsia="zh-CN"/>
        </w:rPr>
        <w:t>奖惩情况：该犯考核期2018年3月7日至2025年12月累计获考核分10003分，表扬9次，物质奖励7次。考核期内违规扣分12次，累计扣</w:t>
      </w:r>
      <w:r>
        <w:rPr>
          <w:rFonts w:hint="eastAsia" w:ascii="仿宋_GB2312"/>
          <w:color w:val="auto"/>
          <w:sz w:val="30"/>
          <w:szCs w:val="30"/>
          <w:lang w:val="en-US" w:eastAsia="zh-CN"/>
        </w:rPr>
        <w:t>考核分</w:t>
      </w:r>
      <w:r>
        <w:rPr>
          <w:rFonts w:hint="eastAsia" w:ascii="仿宋_GB2312"/>
          <w:color w:val="auto"/>
          <w:sz w:val="30"/>
          <w:szCs w:val="30"/>
          <w:lang w:val="zh-CN" w:eastAsia="zh-CN"/>
        </w:rPr>
        <w:t>203分，其中</w:t>
      </w:r>
      <w:r>
        <w:rPr>
          <w:rFonts w:hint="eastAsia" w:ascii="仿宋_GB2312"/>
          <w:color w:val="auto"/>
          <w:sz w:val="30"/>
          <w:szCs w:val="30"/>
          <w:lang w:val="en-US" w:eastAsia="zh-CN"/>
        </w:rPr>
        <w:t>重大</w:t>
      </w:r>
      <w:r>
        <w:rPr>
          <w:rFonts w:hint="eastAsia" w:ascii="仿宋_GB2312"/>
          <w:color w:val="auto"/>
          <w:sz w:val="30"/>
          <w:szCs w:val="30"/>
          <w:lang w:val="zh-CN" w:eastAsia="zh-CN"/>
        </w:rPr>
        <w:t>违规2次：2021年4月23日因打架斗殴行为（殴打罪犯叶礼衍，还用热水泼向叶犯，未造成严重后果），扣</w:t>
      </w:r>
      <w:r>
        <w:rPr>
          <w:rFonts w:hint="eastAsia" w:ascii="仿宋_GB2312"/>
          <w:color w:val="auto"/>
          <w:sz w:val="30"/>
          <w:szCs w:val="30"/>
          <w:lang w:val="en-US" w:eastAsia="zh-CN"/>
        </w:rPr>
        <w:t>考核分</w:t>
      </w:r>
      <w:r>
        <w:rPr>
          <w:rFonts w:hint="eastAsia" w:ascii="仿宋_GB2312"/>
          <w:color w:val="auto"/>
          <w:sz w:val="30"/>
          <w:szCs w:val="30"/>
          <w:lang w:val="zh-CN" w:eastAsia="zh-CN"/>
        </w:rPr>
        <w:t>90分；2021年10月1日因推搡他犯（罪犯陈庸俊），扣</w:t>
      </w:r>
      <w:r>
        <w:rPr>
          <w:rFonts w:hint="eastAsia" w:ascii="仿宋_GB2312"/>
          <w:color w:val="auto"/>
          <w:sz w:val="30"/>
          <w:szCs w:val="30"/>
          <w:lang w:val="en-US" w:eastAsia="zh-CN"/>
        </w:rPr>
        <w:t>考核分</w:t>
      </w:r>
      <w:r>
        <w:rPr>
          <w:rFonts w:hint="eastAsia" w:ascii="仿宋_GB2312"/>
          <w:color w:val="auto"/>
          <w:sz w:val="30"/>
          <w:szCs w:val="30"/>
          <w:lang w:val="zh-CN" w:eastAsia="zh-CN"/>
        </w:rPr>
        <w:t>50分。</w:t>
      </w:r>
    </w:p>
    <w:p w14:paraId="6F65FE70">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val="zh-CN" w:eastAsia="zh-CN"/>
        </w:rPr>
      </w:pPr>
      <w:r>
        <w:rPr>
          <w:rFonts w:hint="eastAsia" w:ascii="仿宋_GB2312"/>
          <w:color w:val="auto"/>
          <w:sz w:val="30"/>
          <w:szCs w:val="30"/>
          <w:lang w:val="zh-CN" w:eastAsia="zh-CN"/>
        </w:rPr>
        <w:t>该犯原判财产性判项已履行人民币42</w:t>
      </w:r>
      <w:r>
        <w:rPr>
          <w:rFonts w:hint="eastAsia" w:ascii="仿宋_GB2312"/>
          <w:color w:val="auto"/>
          <w:sz w:val="30"/>
          <w:szCs w:val="30"/>
          <w:lang w:val="en-US" w:eastAsia="zh-CN"/>
        </w:rPr>
        <w:t>4</w:t>
      </w:r>
      <w:r>
        <w:rPr>
          <w:rFonts w:hint="eastAsia" w:ascii="仿宋_GB2312"/>
          <w:color w:val="auto"/>
          <w:sz w:val="30"/>
          <w:szCs w:val="30"/>
          <w:lang w:val="zh-CN" w:eastAsia="zh-CN"/>
        </w:rPr>
        <w:t>329.62元，其中本次考核期前已履行人民币79900元，本次提请</w:t>
      </w:r>
      <w:r>
        <w:rPr>
          <w:rFonts w:hint="eastAsia" w:ascii="仿宋_GB2312"/>
          <w:color w:val="auto"/>
          <w:sz w:val="30"/>
          <w:szCs w:val="30"/>
          <w:lang w:val="en-US" w:eastAsia="zh-CN"/>
        </w:rPr>
        <w:t>由安徽省芜湖市镜湖区人民法院执行拍卖房产案款313200元，扣划银行存款8229.62元。向福建省南平市中级人民法院缴纳罚没款人民币17000元，通过监狱转账代缴罚没款人民币3000元。向安徽省芜湖市镜湖区人民法院缴纳罚没款3000元</w:t>
      </w:r>
      <w:r>
        <w:rPr>
          <w:rFonts w:hint="eastAsia" w:ascii="仿宋_GB2312"/>
          <w:color w:val="auto"/>
          <w:sz w:val="30"/>
          <w:szCs w:val="30"/>
          <w:lang w:val="zh-CN" w:eastAsia="zh-CN"/>
        </w:rPr>
        <w:t>。该犯考核期消费总额人民币16333.93元，月均消费人民币194.45元，账户可用余额人民币431.11元。安徽省芜湖市镜湖区人民法院于2026年1月5日财产性判项复函载明：在执行过程中对周帮海非法所得79900元予以追缴，扣划银行存款8229.62元，对被执行人周帮海三套不动产</w:t>
      </w:r>
      <w:r>
        <w:rPr>
          <w:rFonts w:hint="eastAsia" w:ascii="仿宋_GB2312"/>
          <w:color w:val="auto"/>
          <w:sz w:val="30"/>
          <w:szCs w:val="30"/>
          <w:lang w:val="en-US" w:eastAsia="zh-CN"/>
        </w:rPr>
        <w:t>进行拍卖后</w:t>
      </w:r>
      <w:r>
        <w:rPr>
          <w:rFonts w:hint="eastAsia" w:ascii="仿宋_GB2312"/>
          <w:color w:val="auto"/>
          <w:sz w:val="30"/>
          <w:szCs w:val="30"/>
          <w:lang w:val="zh-CN" w:eastAsia="zh-CN"/>
        </w:rPr>
        <w:t xml:space="preserve">价款扣除抵押贷款及其他款项后剩313200元上缴国库。2025年12月5日，案外人杨凌代被执行人周帮海缴纳3000元。在执行过程中，除上述执行财产外，未发现被执行人周帮海有可供执行的其他财产。安徽省芜湖市镜湖区人民法院于2019年8月5日执行裁定书（2018）皖0202执643号载明：终结本次执行程序。   </w:t>
      </w:r>
    </w:p>
    <w:p w14:paraId="480B39A9">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rPr>
          <w:rFonts w:hint="default" w:ascii="仿宋_GB2312"/>
          <w:color w:val="auto"/>
          <w:sz w:val="30"/>
          <w:szCs w:val="30"/>
          <w:lang w:val="en-US" w:eastAsia="zh-CN"/>
        </w:rPr>
      </w:pPr>
      <w:r>
        <w:rPr>
          <w:rFonts w:hint="eastAsia" w:ascii="仿宋_GB2312"/>
          <w:color w:val="auto"/>
          <w:sz w:val="30"/>
          <w:szCs w:val="30"/>
          <w:lang w:val="en-US" w:eastAsia="zh-CN"/>
        </w:rPr>
        <w:t>该犯系组织、领导黑社会性质组织</w:t>
      </w:r>
      <w:r>
        <w:rPr>
          <w:rFonts w:hint="eastAsia" w:cs="宋体"/>
          <w:color w:val="auto"/>
          <w:sz w:val="30"/>
          <w:szCs w:val="30"/>
          <w:lang w:val="en-US" w:eastAsia="zh-CN"/>
        </w:rPr>
        <w:t>罪犯</w:t>
      </w:r>
      <w:r>
        <w:rPr>
          <w:rFonts w:hint="eastAsia" w:ascii="Times New Roman" w:hAnsi="Times New Roman" w:cs="宋体"/>
          <w:color w:val="auto"/>
          <w:sz w:val="30"/>
          <w:szCs w:val="30"/>
          <w:lang w:val="zh-CN"/>
        </w:rPr>
        <w:t>，属于从严掌握减刑对象</w:t>
      </w:r>
      <w:r>
        <w:rPr>
          <w:rFonts w:hint="eastAsia" w:cs="宋体"/>
          <w:color w:val="auto"/>
          <w:sz w:val="30"/>
          <w:szCs w:val="30"/>
          <w:lang w:val="zh-CN"/>
        </w:rPr>
        <w:t>，</w:t>
      </w:r>
      <w:r>
        <w:rPr>
          <w:rFonts w:hint="eastAsia" w:ascii="仿宋_GB2312" w:hAnsi="仿宋" w:eastAsia="仿宋_GB2312" w:cs="宋体"/>
          <w:color w:val="auto"/>
          <w:kern w:val="32"/>
          <w:sz w:val="30"/>
          <w:szCs w:val="30"/>
          <w:lang w:val="en-US" w:eastAsia="zh-CN" w:bidi="ar-SA"/>
        </w:rPr>
        <w:t>财产性判项义务履行金额未达到其个人应履行总额30%。</w:t>
      </w:r>
      <w:r>
        <w:rPr>
          <w:rFonts w:hint="default" w:ascii="仿宋_GB2312"/>
          <w:color w:val="auto"/>
          <w:sz w:val="30"/>
          <w:szCs w:val="30"/>
          <w:lang w:val="en-US" w:eastAsia="zh-CN"/>
        </w:rPr>
        <w:t>因此提请减刑幅度扣减</w:t>
      </w:r>
      <w:r>
        <w:rPr>
          <w:rFonts w:hint="eastAsia" w:ascii="仿宋_GB2312"/>
          <w:color w:val="auto"/>
          <w:sz w:val="30"/>
          <w:szCs w:val="30"/>
          <w:lang w:val="en-US" w:eastAsia="zh-CN"/>
        </w:rPr>
        <w:t>四</w:t>
      </w:r>
      <w:r>
        <w:rPr>
          <w:rFonts w:hint="default" w:ascii="仿宋_GB2312"/>
          <w:color w:val="auto"/>
          <w:sz w:val="30"/>
          <w:szCs w:val="30"/>
          <w:lang w:val="en-US" w:eastAsia="zh-CN"/>
        </w:rPr>
        <w:t>个月。</w:t>
      </w:r>
    </w:p>
    <w:p w14:paraId="0978F50F">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val="en-US" w:eastAsia="zh-CN"/>
        </w:rPr>
      </w:pPr>
      <w:r>
        <w:rPr>
          <w:rFonts w:hint="eastAsia" w:ascii="仿宋_GB2312"/>
          <w:color w:val="auto"/>
          <w:sz w:val="30"/>
          <w:szCs w:val="30"/>
          <w:lang w:val="en-US" w:eastAsia="zh-CN"/>
        </w:rPr>
        <w:t>本案于2026年3月13日至2026年3月19日在狱内公示未收到不同意见。</w:t>
      </w:r>
    </w:p>
    <w:p w14:paraId="0CDB7B6E">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eastAsia="zh-CN"/>
        </w:rPr>
      </w:pPr>
      <w:r>
        <w:rPr>
          <w:rFonts w:hint="eastAsia" w:ascii="仿宋_GB2312"/>
          <w:color w:val="auto"/>
          <w:sz w:val="30"/>
          <w:szCs w:val="30"/>
          <w:lang w:eastAsia="zh-CN"/>
        </w:rPr>
        <w:t>因此，依照《中华人民共和国刑法》第七十八条、第七十</w:t>
      </w:r>
      <w:r>
        <w:rPr>
          <w:rFonts w:hint="eastAsia" w:ascii="仿宋_GB2312"/>
          <w:color w:val="auto"/>
          <w:sz w:val="30"/>
          <w:szCs w:val="30"/>
          <w:lang w:val="en-US" w:eastAsia="zh-CN"/>
        </w:rPr>
        <w:t>九</w:t>
      </w:r>
      <w:r>
        <w:rPr>
          <w:rFonts w:hint="eastAsia" w:ascii="仿宋_GB2312"/>
          <w:color w:val="auto"/>
          <w:sz w:val="30"/>
          <w:szCs w:val="30"/>
          <w:lang w:eastAsia="zh-CN"/>
        </w:rPr>
        <w:t>条《中华人民共和国刑事诉讼法》第二百七十三条第二款、《中华人民共和国监狱法》第二十九条的规定，建议对罪犯</w:t>
      </w:r>
      <w:r>
        <w:rPr>
          <w:rFonts w:hint="eastAsia" w:ascii="仿宋_GB2312"/>
          <w:color w:val="auto"/>
          <w:sz w:val="30"/>
          <w:szCs w:val="30"/>
          <w:lang w:val="en-US" w:eastAsia="zh-CN"/>
        </w:rPr>
        <w:t>周帮海</w:t>
      </w:r>
      <w:r>
        <w:rPr>
          <w:rFonts w:hint="eastAsia" w:ascii="仿宋_GB2312"/>
          <w:color w:val="auto"/>
          <w:sz w:val="30"/>
          <w:szCs w:val="30"/>
          <w:lang w:eastAsia="zh-CN"/>
        </w:rPr>
        <w:t>予以减刑</w:t>
      </w:r>
      <w:r>
        <w:rPr>
          <w:rFonts w:hint="eastAsia" w:ascii="仿宋_GB2312"/>
          <w:color w:val="auto"/>
          <w:sz w:val="30"/>
          <w:szCs w:val="30"/>
          <w:lang w:val="en-US" w:eastAsia="zh-CN"/>
        </w:rPr>
        <w:t>五</w:t>
      </w:r>
      <w:r>
        <w:rPr>
          <w:rFonts w:hint="eastAsia" w:ascii="仿宋_GB2312"/>
          <w:color w:val="auto"/>
          <w:sz w:val="30"/>
          <w:szCs w:val="30"/>
          <w:lang w:eastAsia="zh-CN"/>
        </w:rPr>
        <w:t>个月。特提请你院审理裁定。</w:t>
      </w:r>
    </w:p>
    <w:p w14:paraId="4CE22223">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both"/>
        <w:textAlignment w:val="auto"/>
        <w:outlineLvl w:val="9"/>
        <w:rPr>
          <w:rFonts w:hint="eastAsia" w:ascii="仿宋_GB2312"/>
          <w:color w:val="auto"/>
          <w:sz w:val="30"/>
          <w:szCs w:val="30"/>
          <w:lang w:eastAsia="zh-CN"/>
        </w:rPr>
      </w:pPr>
      <w:r>
        <w:rPr>
          <w:rFonts w:hint="eastAsia" w:ascii="仿宋_GB2312"/>
          <w:color w:val="auto"/>
          <w:sz w:val="30"/>
          <w:szCs w:val="30"/>
          <w:lang w:eastAsia="zh-CN"/>
        </w:rPr>
        <w:t>此致</w:t>
      </w:r>
    </w:p>
    <w:p w14:paraId="58BB7D60">
      <w:pPr>
        <w:pStyle w:val="6"/>
        <w:keepNext w:val="0"/>
        <w:keepLines w:val="0"/>
        <w:pageBreakBefore w:val="0"/>
        <w:widowControl w:val="0"/>
        <w:kinsoku/>
        <w:wordWrap/>
        <w:overflowPunct/>
        <w:topLinePunct w:val="0"/>
        <w:autoSpaceDE/>
        <w:autoSpaceDN/>
        <w:bidi w:val="0"/>
        <w:adjustRightInd/>
        <w:snapToGrid/>
        <w:spacing w:line="360" w:lineRule="exact"/>
        <w:ind w:left="0" w:leftChars="0" w:right="-48" w:rightChars="-15" w:firstLine="0" w:firstLineChars="0"/>
        <w:jc w:val="both"/>
        <w:textAlignment w:val="auto"/>
        <w:outlineLvl w:val="9"/>
        <w:rPr>
          <w:color w:val="auto"/>
          <w:sz w:val="30"/>
          <w:szCs w:val="30"/>
        </w:rPr>
      </w:pPr>
      <w:r>
        <w:rPr>
          <w:rFonts w:hint="eastAsia"/>
          <w:color w:val="auto"/>
          <w:sz w:val="30"/>
          <w:szCs w:val="30"/>
        </w:rPr>
        <w:t>福建省</w:t>
      </w:r>
      <w:r>
        <w:rPr>
          <w:rFonts w:hint="eastAsia"/>
          <w:color w:val="auto"/>
          <w:sz w:val="30"/>
          <w:szCs w:val="30"/>
          <w:lang w:val="en-US" w:eastAsia="zh-CN"/>
        </w:rPr>
        <w:t>南平市</w:t>
      </w:r>
      <w:r>
        <w:rPr>
          <w:rFonts w:hint="eastAsia"/>
          <w:color w:val="auto"/>
          <w:sz w:val="30"/>
          <w:szCs w:val="30"/>
        </w:rPr>
        <w:t>中级人民法院</w:t>
      </w:r>
    </w:p>
    <w:p w14:paraId="6FF092CD">
      <w:pPr>
        <w:pStyle w:val="6"/>
        <w:keepNext w:val="0"/>
        <w:keepLines w:val="0"/>
        <w:pageBreakBefore w:val="0"/>
        <w:widowControl w:val="0"/>
        <w:kinsoku/>
        <w:wordWrap/>
        <w:overflowPunct/>
        <w:topLinePunct w:val="0"/>
        <w:autoSpaceDE/>
        <w:autoSpaceDN/>
        <w:bidi w:val="0"/>
        <w:adjustRightInd/>
        <w:snapToGrid/>
        <w:spacing w:line="360" w:lineRule="exact"/>
        <w:ind w:left="640" w:firstLine="0" w:firstLineChars="0"/>
        <w:jc w:val="both"/>
        <w:textAlignment w:val="auto"/>
        <w:rPr>
          <w:rFonts w:hint="eastAsia" w:cs="仿宋_GB2312"/>
          <w:color w:val="auto"/>
          <w:sz w:val="30"/>
          <w:szCs w:val="30"/>
        </w:rPr>
      </w:pPr>
    </w:p>
    <w:p w14:paraId="08EEBEAD">
      <w:pPr>
        <w:pStyle w:val="6"/>
        <w:keepNext w:val="0"/>
        <w:keepLines w:val="0"/>
        <w:pageBreakBefore w:val="0"/>
        <w:widowControl w:val="0"/>
        <w:kinsoku/>
        <w:wordWrap/>
        <w:overflowPunct/>
        <w:topLinePunct w:val="0"/>
        <w:autoSpaceDE/>
        <w:autoSpaceDN/>
        <w:bidi w:val="0"/>
        <w:adjustRightInd/>
        <w:snapToGrid/>
        <w:spacing w:line="360" w:lineRule="exact"/>
        <w:ind w:left="640" w:firstLine="0" w:firstLineChars="0"/>
        <w:jc w:val="both"/>
        <w:textAlignment w:val="auto"/>
        <w:rPr>
          <w:rFonts w:cs="仿宋_GB2312"/>
          <w:color w:val="auto"/>
          <w:sz w:val="30"/>
          <w:szCs w:val="30"/>
        </w:rPr>
      </w:pPr>
      <w:r>
        <w:rPr>
          <w:rFonts w:hint="eastAsia" w:cs="仿宋_GB2312"/>
          <w:color w:val="auto"/>
          <w:sz w:val="30"/>
          <w:szCs w:val="30"/>
        </w:rPr>
        <w:t>附件：⒈罪犯</w:t>
      </w:r>
      <w:r>
        <w:rPr>
          <w:rFonts w:hint="eastAsia" w:cs="仿宋_GB2312"/>
          <w:color w:val="auto"/>
          <w:sz w:val="30"/>
          <w:szCs w:val="30"/>
          <w:lang w:val="en-US" w:eastAsia="zh-CN"/>
        </w:rPr>
        <w:t>周帮海</w:t>
      </w:r>
      <w:r>
        <w:rPr>
          <w:rFonts w:hint="eastAsia" w:cs="仿宋_GB2312"/>
          <w:color w:val="auto"/>
          <w:sz w:val="30"/>
          <w:szCs w:val="30"/>
        </w:rPr>
        <w:t>卷宗</w:t>
      </w:r>
      <w:r>
        <w:rPr>
          <w:rFonts w:hint="eastAsia" w:cs="仿宋_GB2312"/>
          <w:color w:val="auto"/>
          <w:sz w:val="30"/>
          <w:szCs w:val="30"/>
          <w:lang w:val="en-US" w:eastAsia="zh-CN"/>
        </w:rPr>
        <w:t>二册</w:t>
      </w:r>
    </w:p>
    <w:p w14:paraId="6AEC087B">
      <w:pPr>
        <w:pStyle w:val="6"/>
        <w:keepNext w:val="0"/>
        <w:keepLines w:val="0"/>
        <w:pageBreakBefore w:val="0"/>
        <w:widowControl w:val="0"/>
        <w:kinsoku/>
        <w:wordWrap/>
        <w:overflowPunct/>
        <w:topLinePunct w:val="0"/>
        <w:autoSpaceDE/>
        <w:autoSpaceDN/>
        <w:bidi w:val="0"/>
        <w:adjustRightInd/>
        <w:snapToGrid/>
        <w:spacing w:line="360" w:lineRule="exact"/>
        <w:ind w:left="640" w:right="-48" w:rightChars="-15" w:firstLine="900" w:firstLineChars="300"/>
        <w:jc w:val="both"/>
        <w:textAlignment w:val="auto"/>
        <w:rPr>
          <w:rFonts w:hint="eastAsia"/>
          <w:color w:val="auto"/>
          <w:sz w:val="30"/>
          <w:szCs w:val="30"/>
        </w:rPr>
      </w:pPr>
      <w:r>
        <w:rPr>
          <w:rFonts w:hint="eastAsia" w:cs="仿宋_GB2312"/>
          <w:color w:val="auto"/>
          <w:sz w:val="30"/>
          <w:szCs w:val="30"/>
        </w:rPr>
        <w:t>⒉减刑建议书</w:t>
      </w:r>
      <w:r>
        <w:rPr>
          <w:rFonts w:hint="eastAsia" w:cs="仿宋_GB2312"/>
          <w:color w:val="auto"/>
          <w:sz w:val="30"/>
          <w:szCs w:val="30"/>
          <w:lang w:val="en-US" w:eastAsia="zh-CN"/>
        </w:rPr>
        <w:t>五</w:t>
      </w:r>
      <w:r>
        <w:rPr>
          <w:rFonts w:hint="eastAsia" w:cs="仿宋_GB2312"/>
          <w:color w:val="auto"/>
          <w:sz w:val="30"/>
          <w:szCs w:val="30"/>
        </w:rPr>
        <w:t>份</w:t>
      </w:r>
    </w:p>
    <w:p w14:paraId="144E8A14">
      <w:pPr>
        <w:pStyle w:val="2"/>
        <w:keepNext w:val="0"/>
        <w:keepLines w:val="0"/>
        <w:pageBreakBefore w:val="0"/>
        <w:widowControl w:val="0"/>
        <w:kinsoku/>
        <w:wordWrap/>
        <w:overflowPunct/>
        <w:topLinePunct w:val="0"/>
        <w:autoSpaceDE/>
        <w:autoSpaceDN/>
        <w:bidi w:val="0"/>
        <w:adjustRightInd/>
        <w:snapToGrid/>
        <w:spacing w:line="430" w:lineRule="exact"/>
        <w:ind w:left="0" w:right="1280" w:rightChars="400"/>
        <w:jc w:val="right"/>
        <w:textAlignment w:val="auto"/>
        <w:rPr>
          <w:color w:val="auto"/>
          <w:szCs w:val="32"/>
        </w:rPr>
      </w:pPr>
      <w:r>
        <w:rPr>
          <w:rFonts w:hint="eastAsia"/>
          <w:color w:val="auto"/>
          <w:sz w:val="30"/>
          <w:szCs w:val="30"/>
          <w:lang w:val="en-US" w:eastAsia="zh-CN"/>
        </w:rPr>
        <w:t xml:space="preserve">  </w:t>
      </w:r>
      <w:r>
        <w:rPr>
          <w:rFonts w:hint="eastAsia"/>
          <w:color w:val="auto"/>
          <w:szCs w:val="32"/>
        </w:rPr>
        <w:t>福建省</w:t>
      </w:r>
      <w:r>
        <w:rPr>
          <w:rFonts w:hint="eastAsia"/>
          <w:color w:val="auto"/>
          <w:szCs w:val="32"/>
          <w:lang w:val="en-US" w:eastAsia="zh-CN"/>
        </w:rPr>
        <w:t>武夷山</w:t>
      </w:r>
      <w:r>
        <w:rPr>
          <w:rFonts w:hint="eastAsia"/>
          <w:color w:val="auto"/>
          <w:szCs w:val="32"/>
        </w:rPr>
        <w:t>监狱</w:t>
      </w:r>
    </w:p>
    <w:p w14:paraId="53F44FB2">
      <w:pPr>
        <w:pStyle w:val="2"/>
        <w:keepNext w:val="0"/>
        <w:keepLines w:val="0"/>
        <w:pageBreakBefore w:val="0"/>
        <w:widowControl w:val="0"/>
        <w:kinsoku/>
        <w:wordWrap/>
        <w:overflowPunct/>
        <w:topLinePunct w:val="0"/>
        <w:autoSpaceDE/>
        <w:autoSpaceDN/>
        <w:bidi w:val="0"/>
        <w:adjustRightInd/>
        <w:snapToGrid/>
        <w:spacing w:line="430" w:lineRule="exact"/>
        <w:ind w:left="0" w:right="1280" w:rightChars="400"/>
        <w:jc w:val="right"/>
        <w:textAlignment w:val="auto"/>
        <w:rPr>
          <w:rFonts w:hint="default" w:eastAsia="仿宋_GB2312"/>
          <w:color w:val="auto"/>
          <w:szCs w:val="32"/>
          <w:lang w:val="en-US" w:eastAsia="zh-CN"/>
        </w:rPr>
      </w:pPr>
      <w:r>
        <w:rPr>
          <w:rFonts w:hint="eastAsia"/>
          <w:color w:val="auto"/>
          <w:szCs w:val="32"/>
          <w:lang w:val="en-US" w:eastAsia="zh-CN"/>
        </w:rPr>
        <w:t>2026年3月23日</w:t>
      </w:r>
    </w:p>
    <w:p w14:paraId="37D0E926">
      <w:pPr>
        <w:pStyle w:val="2"/>
        <w:keepNext w:val="0"/>
        <w:keepLines w:val="0"/>
        <w:pageBreakBefore w:val="0"/>
        <w:widowControl w:val="0"/>
        <w:kinsoku/>
        <w:wordWrap/>
        <w:overflowPunct/>
        <w:topLinePunct w:val="0"/>
        <w:autoSpaceDE/>
        <w:autoSpaceDN/>
        <w:bidi w:val="0"/>
        <w:adjustRightInd/>
        <w:snapToGrid/>
        <w:spacing w:line="360" w:lineRule="exact"/>
        <w:ind w:left="0" w:right="1280" w:rightChars="400"/>
        <w:jc w:val="right"/>
        <w:textAlignment w:val="auto"/>
        <w:rPr>
          <w:sz w:val="30"/>
          <w:szCs w:val="30"/>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2000000000000000000"/>
    <w:charset w:val="86"/>
    <w:family w:val="script"/>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BE25B2F9">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45762"/>
    <w:rsid w:val="03BC14C2"/>
    <w:rsid w:val="04070F8E"/>
    <w:rsid w:val="06882CEA"/>
    <w:rsid w:val="07697416"/>
    <w:rsid w:val="08821C39"/>
    <w:rsid w:val="0A8B625D"/>
    <w:rsid w:val="0EE4454F"/>
    <w:rsid w:val="0F3B7C50"/>
    <w:rsid w:val="0F5C13BE"/>
    <w:rsid w:val="0FB70159"/>
    <w:rsid w:val="0FDD0B2F"/>
    <w:rsid w:val="112E4B8A"/>
    <w:rsid w:val="119A6202"/>
    <w:rsid w:val="11E640B7"/>
    <w:rsid w:val="13217B48"/>
    <w:rsid w:val="178674BC"/>
    <w:rsid w:val="17B7646C"/>
    <w:rsid w:val="19DC193D"/>
    <w:rsid w:val="1C844E03"/>
    <w:rsid w:val="1CE35050"/>
    <w:rsid w:val="1CF94A9D"/>
    <w:rsid w:val="1DD02306"/>
    <w:rsid w:val="1E194A85"/>
    <w:rsid w:val="210F263F"/>
    <w:rsid w:val="222457A1"/>
    <w:rsid w:val="22A50C60"/>
    <w:rsid w:val="22FA7A67"/>
    <w:rsid w:val="232B2088"/>
    <w:rsid w:val="23381655"/>
    <w:rsid w:val="233A1DF1"/>
    <w:rsid w:val="246556FA"/>
    <w:rsid w:val="250311D4"/>
    <w:rsid w:val="267B364D"/>
    <w:rsid w:val="27554509"/>
    <w:rsid w:val="284F2B5F"/>
    <w:rsid w:val="29651FF9"/>
    <w:rsid w:val="29E74FEE"/>
    <w:rsid w:val="29FE3304"/>
    <w:rsid w:val="2C41338A"/>
    <w:rsid w:val="2C8A0AB2"/>
    <w:rsid w:val="2C8A27D9"/>
    <w:rsid w:val="2F0A51C2"/>
    <w:rsid w:val="2F375F4F"/>
    <w:rsid w:val="341E4379"/>
    <w:rsid w:val="37376172"/>
    <w:rsid w:val="375F39C5"/>
    <w:rsid w:val="377D19E8"/>
    <w:rsid w:val="379F34F5"/>
    <w:rsid w:val="39614AE2"/>
    <w:rsid w:val="39FB37B1"/>
    <w:rsid w:val="3A82552F"/>
    <w:rsid w:val="3ACA2FFA"/>
    <w:rsid w:val="3B182BA8"/>
    <w:rsid w:val="3E036E74"/>
    <w:rsid w:val="3FFE0905"/>
    <w:rsid w:val="4068186C"/>
    <w:rsid w:val="41E554B1"/>
    <w:rsid w:val="4239675C"/>
    <w:rsid w:val="426D62FB"/>
    <w:rsid w:val="4360192D"/>
    <w:rsid w:val="43A40AB8"/>
    <w:rsid w:val="45145354"/>
    <w:rsid w:val="452546D8"/>
    <w:rsid w:val="453306A8"/>
    <w:rsid w:val="462922A2"/>
    <w:rsid w:val="469559DB"/>
    <w:rsid w:val="48351C89"/>
    <w:rsid w:val="488870F8"/>
    <w:rsid w:val="48AC3534"/>
    <w:rsid w:val="48E5557E"/>
    <w:rsid w:val="48E86422"/>
    <w:rsid w:val="4B046B60"/>
    <w:rsid w:val="4B265B3C"/>
    <w:rsid w:val="4B357583"/>
    <w:rsid w:val="4C7F0F4D"/>
    <w:rsid w:val="4D9C2E7A"/>
    <w:rsid w:val="4DBF2D86"/>
    <w:rsid w:val="504F2CF3"/>
    <w:rsid w:val="532D0BFC"/>
    <w:rsid w:val="53572625"/>
    <w:rsid w:val="5378F6E7"/>
    <w:rsid w:val="55354C29"/>
    <w:rsid w:val="55A776C3"/>
    <w:rsid w:val="5665627C"/>
    <w:rsid w:val="572A26C5"/>
    <w:rsid w:val="58133AAC"/>
    <w:rsid w:val="586C6112"/>
    <w:rsid w:val="58E1265B"/>
    <w:rsid w:val="5A642FBD"/>
    <w:rsid w:val="5BBD2AAC"/>
    <w:rsid w:val="5CD36896"/>
    <w:rsid w:val="5D0E512D"/>
    <w:rsid w:val="5D6E3EB7"/>
    <w:rsid w:val="5D7F7D75"/>
    <w:rsid w:val="5F293D17"/>
    <w:rsid w:val="5FDA5A49"/>
    <w:rsid w:val="62CA272D"/>
    <w:rsid w:val="636F5D39"/>
    <w:rsid w:val="63B01737"/>
    <w:rsid w:val="63B3300F"/>
    <w:rsid w:val="65237E49"/>
    <w:rsid w:val="689E76CB"/>
    <w:rsid w:val="6B0B4465"/>
    <w:rsid w:val="6C4F66B7"/>
    <w:rsid w:val="6C88364A"/>
    <w:rsid w:val="6CE220DC"/>
    <w:rsid w:val="6CF90F54"/>
    <w:rsid w:val="6E147124"/>
    <w:rsid w:val="6E967EBF"/>
    <w:rsid w:val="6ED61FBC"/>
    <w:rsid w:val="6ED87A08"/>
    <w:rsid w:val="6F111BCE"/>
    <w:rsid w:val="6F8A17C7"/>
    <w:rsid w:val="71E04E9C"/>
    <w:rsid w:val="73783AA1"/>
    <w:rsid w:val="75F32F1D"/>
    <w:rsid w:val="76235A37"/>
    <w:rsid w:val="766B2704"/>
    <w:rsid w:val="76A30385"/>
    <w:rsid w:val="77DA0272"/>
    <w:rsid w:val="77FE3FAB"/>
    <w:rsid w:val="78181C60"/>
    <w:rsid w:val="78215339"/>
    <w:rsid w:val="78F79D9F"/>
    <w:rsid w:val="79EB33FD"/>
    <w:rsid w:val="7ACBBE62"/>
    <w:rsid w:val="7B0121F3"/>
    <w:rsid w:val="7BF97417"/>
    <w:rsid w:val="7BFCF247"/>
    <w:rsid w:val="7CA95EC6"/>
    <w:rsid w:val="7D265CEC"/>
    <w:rsid w:val="7D545ED4"/>
    <w:rsid w:val="7D9C52E3"/>
    <w:rsid w:val="7DDB7EAC"/>
    <w:rsid w:val="7E1C170B"/>
    <w:rsid w:val="7EFB81A9"/>
    <w:rsid w:val="7F5AD85C"/>
    <w:rsid w:val="7FB3644E"/>
    <w:rsid w:val="7FEA326A"/>
    <w:rsid w:val="ED7D8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style>
  <w:style w:type="character" w:styleId="5">
    <w:name w:val="Emphasis"/>
    <w:basedOn w:val="4"/>
    <w:qFormat/>
    <w:uiPriority w:val="0"/>
    <w:rPr>
      <w:i/>
    </w:rPr>
  </w:style>
  <w:style w:type="paragraph" w:customStyle="1" w:styleId="6">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1494</Words>
  <Characters>1712</Characters>
  <Lines>0</Lines>
  <Paragraphs>0</Paragraphs>
  <TotalTime>0</TotalTime>
  <ScaleCrop>false</ScaleCrop>
  <LinksUpToDate>false</LinksUpToDate>
  <CharactersWithSpaces>1723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2024-01-08T06:58:00Z</dcterms:created>
  <dc:creator>Administrator</dc:creator>
  <cp:lastModifiedBy>miny</cp:lastModifiedBy>
  <cp:lastPrinted>2026-02-11T02:43:00Z</cp:lastPrinted>
  <dcterms:modified xsi:type="dcterms:W3CDTF">2026-03-22T13:51:34Z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EC7A581AD79629CEFB05B0696495E2D2</vt:lpwstr>
  </property>
  <property fmtid="{D5CDD505-2E9C-101B-9397-08002B2CF9AE}" pid="4" name="KSOTemplateDocerSaveRecord">
    <vt:lpwstr>eyJoZGlkIjoiYzBjZTc2MzViNDNhZTJiODIyMGNmMmZmNjk3NDA2YTMiLCJ1c2VySWQiOiIxMDQ0OTgwOTcxIn0=</vt:lpwstr>
  </property>
</Properties>
</file>