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2E6C1">
      <w:pPr>
        <w:pStyle w:val="4"/>
        <w:rPr>
          <w:rFonts w:ascii="仿宋_GB2312" w:hAnsi="仿宋_GB2312" w:cs="仿宋_GB2312"/>
          <w:b/>
          <w:bCs/>
          <w:sz w:val="28"/>
          <w:szCs w:val="28"/>
        </w:rPr>
      </w:pPr>
      <w:r>
        <w:rPr>
          <w:rFonts w:hint="eastAsia" w:ascii="仿宋_GB2312" w:hAnsi="仿宋_GB2312" w:cs="仿宋_GB2312"/>
          <w:b/>
          <w:bCs/>
          <w:sz w:val="28"/>
          <w:szCs w:val="28"/>
        </w:rPr>
        <w:t>附件：</w:t>
      </w:r>
    </w:p>
    <w:p w14:paraId="2D87FFAB">
      <w:pPr>
        <w:pStyle w:val="4"/>
        <w:jc w:val="center"/>
        <w:rPr>
          <w:rFonts w:ascii="仿宋_GB2312" w:hAnsi="仿宋_GB2312" w:cs="仿宋_GB2312"/>
          <w:b/>
          <w:bCs/>
          <w:sz w:val="28"/>
          <w:szCs w:val="28"/>
        </w:rPr>
      </w:pPr>
      <w:r>
        <w:rPr>
          <w:rFonts w:ascii="仿宋_GB2312" w:hAnsi="仿宋_GB2312" w:cs="仿宋_GB2312"/>
          <w:b/>
          <w:bCs/>
          <w:sz w:val="28"/>
          <w:szCs w:val="28"/>
        </w:rPr>
        <w:t>采购内容及要求</w:t>
      </w:r>
    </w:p>
    <w:p w14:paraId="62202452">
      <w:pPr>
        <w:pStyle w:val="4"/>
        <w:rPr>
          <w:rFonts w:ascii="仿宋_GB2312" w:hAnsi="仿宋_GB2312" w:cs="仿宋_GB2312"/>
          <w:sz w:val="28"/>
          <w:szCs w:val="28"/>
        </w:rPr>
      </w:pPr>
      <w:r>
        <w:rPr>
          <w:rFonts w:ascii="仿宋_GB2312" w:hAnsi="仿宋_GB2312" w:cs="仿宋_GB2312"/>
          <w:b/>
          <w:bCs/>
          <w:sz w:val="28"/>
          <w:szCs w:val="28"/>
        </w:rPr>
        <w:t>一、项目概况（采购</w:t>
      </w:r>
      <w:bookmarkStart w:id="0" w:name="_GoBack"/>
      <w:bookmarkEnd w:id="0"/>
      <w:r>
        <w:rPr>
          <w:rFonts w:ascii="仿宋_GB2312" w:hAnsi="仿宋_GB2312" w:cs="仿宋_GB2312"/>
          <w:b/>
          <w:bCs/>
          <w:sz w:val="28"/>
          <w:szCs w:val="28"/>
        </w:rPr>
        <w:t>标的）</w:t>
      </w:r>
    </w:p>
    <w:p w14:paraId="56B63035">
      <w:pPr>
        <w:pStyle w:val="4"/>
        <w:rPr>
          <w:rFonts w:ascii="仿宋_GB2312" w:hAnsi="仿宋_GB2312" w:cs="仿宋_GB2312"/>
          <w:sz w:val="28"/>
          <w:szCs w:val="28"/>
        </w:rPr>
      </w:pPr>
      <w:r>
        <w:rPr>
          <w:rFonts w:hint="eastAsia" w:ascii="仿宋_GB2312" w:hAnsi="仿宋_GB2312" w:cs="仿宋_GB2312"/>
          <w:sz w:val="28"/>
          <w:szCs w:val="28"/>
          <w:lang w:eastAsia="zh-CN"/>
        </w:rPr>
        <w:t>1、</w:t>
      </w:r>
      <w:r>
        <w:rPr>
          <w:rFonts w:ascii="仿宋_GB2312" w:hAnsi="仿宋_GB2312" w:cs="仿宋_GB2312"/>
          <w:sz w:val="28"/>
          <w:szCs w:val="28"/>
        </w:rPr>
        <w:t>本项目供货服务期限为：自合同签订之日起，至新的同类项目完成采购并由中标单位签订合同之日止</w:t>
      </w:r>
      <w:r>
        <w:rPr>
          <w:rFonts w:hint="eastAsia" w:ascii="仿宋_GB2312" w:hAnsi="仿宋_GB2312" w:cs="仿宋_GB2312"/>
          <w:sz w:val="28"/>
          <w:szCs w:val="28"/>
        </w:rPr>
        <w:t>（预估2-3个月，具体以实际为准）</w:t>
      </w:r>
      <w:r>
        <w:rPr>
          <w:rFonts w:ascii="仿宋_GB2312" w:hAnsi="仿宋_GB2312" w:cs="仿宋_GB2312"/>
          <w:sz w:val="28"/>
          <w:szCs w:val="28"/>
        </w:rPr>
        <w:t>，或累计采购总金额达到49,000元时终止，以先达到的条件为准。在合同履行期间，当供货期限届满或实际采购金额达到项目预算金额时，合同自动终止（视为供货期限届满）。采购人根据实际需求进行采购，本项目按实际采购数量和金额进行结算，不保证合同履行期内的具体采购量和总金额。各供应商应充分评估并自行承担因采购量不确定所带来的履约风险。</w:t>
      </w:r>
    </w:p>
    <w:p w14:paraId="77FAAF7A">
      <w:pPr>
        <w:pStyle w:val="4"/>
        <w:rPr>
          <w:rFonts w:ascii="仿宋_GB2312" w:hAnsi="仿宋_GB2312" w:cs="仿宋_GB2312"/>
          <w:sz w:val="28"/>
          <w:szCs w:val="28"/>
        </w:rPr>
      </w:pPr>
      <w:r>
        <w:rPr>
          <w:rFonts w:ascii="仿宋_GB2312" w:hAnsi="仿宋_GB2312" w:cs="仿宋_GB2312"/>
          <w:sz w:val="28"/>
          <w:szCs w:val="28"/>
        </w:rPr>
        <w:t>2</w:t>
      </w:r>
      <w:r>
        <w:rPr>
          <w:rFonts w:hint="eastAsia" w:ascii="仿宋_GB2312" w:hAnsi="仿宋_GB2312" w:cs="仿宋_GB2312"/>
          <w:sz w:val="28"/>
          <w:szCs w:val="28"/>
        </w:rPr>
        <w:t>、</w:t>
      </w:r>
      <w:r>
        <w:rPr>
          <w:rFonts w:ascii="仿宋_GB2312" w:hAnsi="仿宋_GB2312" w:cs="仿宋_GB2312"/>
          <w:sz w:val="28"/>
          <w:szCs w:val="28"/>
        </w:rPr>
        <w:t>本项目合同金额为预算金额（即</w:t>
      </w:r>
      <w:r>
        <w:rPr>
          <w:rFonts w:hint="eastAsia" w:ascii="仿宋_GB2312" w:hAnsi="仿宋_GB2312" w:cs="仿宋_GB2312"/>
          <w:sz w:val="28"/>
          <w:szCs w:val="28"/>
        </w:rPr>
        <w:t>49000</w:t>
      </w:r>
      <w:r>
        <w:rPr>
          <w:rFonts w:ascii="仿宋_GB2312" w:hAnsi="仿宋_GB2312" w:cs="仿宋_GB2312"/>
          <w:sz w:val="28"/>
          <w:szCs w:val="28"/>
        </w:rPr>
        <w:t>元）。</w:t>
      </w:r>
    </w:p>
    <w:p w14:paraId="1BF7320D">
      <w:pPr>
        <w:pStyle w:val="4"/>
        <w:rPr>
          <w:rFonts w:ascii="仿宋_GB2312" w:hAnsi="仿宋_GB2312" w:cs="仿宋_GB2312"/>
          <w:sz w:val="28"/>
          <w:szCs w:val="28"/>
        </w:rPr>
      </w:pPr>
      <w:r>
        <w:rPr>
          <w:rFonts w:ascii="仿宋_GB2312" w:hAnsi="仿宋_GB2312" w:cs="仿宋_GB2312"/>
          <w:sz w:val="28"/>
          <w:szCs w:val="28"/>
        </w:rPr>
        <w:t>3</w:t>
      </w:r>
      <w:r>
        <w:rPr>
          <w:rFonts w:hint="eastAsia" w:ascii="仿宋_GB2312" w:hAnsi="仿宋_GB2312" w:cs="仿宋_GB2312"/>
          <w:sz w:val="28"/>
          <w:szCs w:val="28"/>
        </w:rPr>
        <w:t>、</w:t>
      </w:r>
      <w:r>
        <w:rPr>
          <w:rFonts w:ascii="仿宋_GB2312" w:hAnsi="仿宋_GB2312" w:cs="仿宋_GB2312"/>
          <w:sz w:val="28"/>
          <w:szCs w:val="28"/>
        </w:rPr>
        <w:t>本项目按实际采购数量进行结算。供应商须对采购清单中所列货物报统一折扣率，折扣率以百分比形式填报，保留至整数位，小数部分按四舍五入处理（如85%、90%）。实际结算单价按“基准价 × 所报折扣率”计算，结果保留至小数点后两位。基准价每三个月（视为一个季度）确定一次，以该季度首次供货当日所投品牌对应品类熟食的原价为准，由当日购物小票作为依据。示例：若某货物季度基准价为100元，供应商所报折扣率为85%，则实际结算单价为100元 × 85% = 85.00元。最终结算金额根据实际采购数量与实际结算单价据实结算。</w:t>
      </w:r>
    </w:p>
    <w:p w14:paraId="0EDD1825">
      <w:pPr>
        <w:pStyle w:val="4"/>
        <w:rPr>
          <w:rFonts w:ascii="仿宋_GB2312" w:hAnsi="仿宋_GB2312" w:cs="仿宋_GB2312"/>
          <w:sz w:val="28"/>
          <w:szCs w:val="28"/>
        </w:rPr>
      </w:pPr>
      <w:r>
        <w:rPr>
          <w:rFonts w:ascii="仿宋_GB2312" w:hAnsi="仿宋_GB2312" w:cs="仿宋_GB2312"/>
          <w:sz w:val="28"/>
          <w:szCs w:val="28"/>
        </w:rPr>
        <w:t>4</w:t>
      </w:r>
      <w:r>
        <w:rPr>
          <w:rFonts w:hint="eastAsia" w:ascii="仿宋_GB2312" w:hAnsi="仿宋_GB2312" w:cs="仿宋_GB2312"/>
          <w:sz w:val="28"/>
          <w:szCs w:val="28"/>
        </w:rPr>
        <w:t>、基准价：供应商针对本项目配送的食品必须在麦当劳、肯德基、德克士三个品牌中选择，各供应商须在三个品牌中任选一个品牌作为配送食品的品牌，基准价为各品牌门店的销售价（不含促销价的商品）。供应商须对配送的食品进行统一折扣率报价，折扣率最低的为中标人。中标后，在签订合同的当天，由招标人与中标人共同前往中标品牌任一门店购买样品（不含促销价的商品），样品费用由中标人出资，以选定商店样品打印小票结果作为结算的基准价，之后中标人所提供的货物应与样品一致。</w:t>
      </w:r>
    </w:p>
    <w:p w14:paraId="540E537A">
      <w:pPr>
        <w:pStyle w:val="4"/>
        <w:rPr>
          <w:rFonts w:ascii="仿宋_GB2312" w:hAnsi="仿宋_GB2312" w:cs="仿宋_GB2312"/>
          <w:sz w:val="28"/>
          <w:szCs w:val="28"/>
        </w:rPr>
      </w:pPr>
      <w:r>
        <w:rPr>
          <w:rFonts w:hint="eastAsia" w:ascii="仿宋_GB2312" w:hAnsi="仿宋_GB2312" w:cs="仿宋_GB2312"/>
          <w:sz w:val="28"/>
          <w:szCs w:val="28"/>
        </w:rPr>
        <w:t>5、</w:t>
      </w:r>
      <w:r>
        <w:rPr>
          <w:rFonts w:ascii="仿宋_GB2312" w:hAnsi="仿宋_GB2312" w:cs="仿宋_GB2312"/>
          <w:sz w:val="28"/>
          <w:szCs w:val="28"/>
        </w:rPr>
        <w:t>供应商所提供的产品必须是全新原厂原包装，通过合法渠道获得，符合国家各项规定及质量标准的要求。</w:t>
      </w:r>
      <w:r>
        <w:rPr>
          <w:rFonts w:hint="eastAsia" w:ascii="仿宋" w:hAnsi="仿宋" w:eastAsia="仿宋" w:cs="仿宋"/>
          <w:sz w:val="28"/>
          <w:szCs w:val="28"/>
        </w:rPr>
        <w:t>供应商配送食品质量、重量不得低于门店销售的同种商品质量、重量标准，剩余保质期不得少于该商品保质期的二分之一。招标人有权对中标人配送的商品质量、重量进行查验，必要时抽样送厂家或有资质的专业检测机构进行质量检测。</w:t>
      </w:r>
    </w:p>
    <w:p w14:paraId="4D409067">
      <w:pPr>
        <w:pStyle w:val="4"/>
        <w:rPr>
          <w:rFonts w:ascii="仿宋_GB2312" w:hAnsi="仿宋_GB2312" w:cs="仿宋_GB2312"/>
          <w:sz w:val="28"/>
          <w:szCs w:val="28"/>
        </w:rPr>
      </w:pPr>
      <w:r>
        <w:rPr>
          <w:rFonts w:hint="eastAsia" w:ascii="仿宋_GB2312" w:hAnsi="仿宋_GB2312" w:cs="仿宋_GB2312"/>
          <w:sz w:val="28"/>
          <w:szCs w:val="28"/>
        </w:rPr>
        <w:t>6、</w:t>
      </w:r>
      <w:r>
        <w:rPr>
          <w:rFonts w:ascii="仿宋_GB2312" w:hAnsi="仿宋_GB2312" w:cs="仿宋_GB2312"/>
          <w:sz w:val="28"/>
          <w:szCs w:val="28"/>
        </w:rPr>
        <w:t>供应商须自行考虑供货中的风险并填报合理的报价，采购人不再支付任何费用。</w:t>
      </w:r>
    </w:p>
    <w:p w14:paraId="73C5EDF7">
      <w:pPr>
        <w:pStyle w:val="4"/>
        <w:rPr>
          <w:rFonts w:ascii="仿宋_GB2312" w:hAnsi="仿宋_GB2312" w:cs="仿宋_GB2312"/>
          <w:b/>
          <w:bCs/>
          <w:sz w:val="28"/>
          <w:szCs w:val="28"/>
        </w:rPr>
      </w:pPr>
      <w:r>
        <w:rPr>
          <w:rFonts w:hint="eastAsia" w:ascii="仿宋_GB2312" w:hAnsi="仿宋_GB2312" w:cs="仿宋_GB2312"/>
          <w:b/>
          <w:bCs/>
          <w:sz w:val="28"/>
          <w:szCs w:val="28"/>
        </w:rPr>
        <w:t>二、食品明细清单</w:t>
      </w:r>
    </w:p>
    <w:p w14:paraId="05F53533">
      <w:pPr>
        <w:pStyle w:val="4"/>
        <w:rPr>
          <w:rFonts w:ascii="仿宋_GB2312" w:hAnsi="仿宋_GB2312" w:cs="仿宋_GB2312"/>
          <w:sz w:val="28"/>
          <w:szCs w:val="28"/>
        </w:rPr>
      </w:pPr>
      <w:r>
        <w:rPr>
          <w:rFonts w:hint="eastAsia" w:ascii="仿宋_GB2312" w:hAnsi="仿宋_GB2312" w:cs="仿宋_GB2312"/>
          <w:sz w:val="28"/>
          <w:szCs w:val="28"/>
        </w:rPr>
        <w:t>1、因各品牌的产品名称可能会有差异，报价时请填写报价品牌在门店销售时的具体名称。</w:t>
      </w:r>
    </w:p>
    <w:tbl>
      <w:tblPr>
        <w:tblStyle w:val="7"/>
        <w:tblW w:w="8424" w:type="dxa"/>
        <w:tblInd w:w="96" w:type="dxa"/>
        <w:tblLayout w:type="fixed"/>
        <w:tblCellMar>
          <w:top w:w="0" w:type="dxa"/>
          <w:left w:w="108" w:type="dxa"/>
          <w:bottom w:w="0" w:type="dxa"/>
          <w:right w:w="108" w:type="dxa"/>
        </w:tblCellMar>
      </w:tblPr>
      <w:tblGrid>
        <w:gridCol w:w="700"/>
        <w:gridCol w:w="2655"/>
        <w:gridCol w:w="1876"/>
        <w:gridCol w:w="1876"/>
        <w:gridCol w:w="1317"/>
      </w:tblGrid>
      <w:tr w14:paraId="049FD2A3">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E40D">
            <w:pPr>
              <w:widowControl/>
              <w:jc w:val="center"/>
              <w:textAlignment w:val="center"/>
              <w:rPr>
                <w:rFonts w:ascii="仿宋_GB2312" w:hAnsi="仿宋_GB2312" w:cs="仿宋_GB2312"/>
                <w:sz w:val="28"/>
                <w:szCs w:val="28"/>
              </w:rPr>
            </w:pPr>
            <w:r>
              <w:rPr>
                <w:rFonts w:hint="eastAsia" w:ascii="仿宋_GB2312" w:hAnsi="仿宋_GB2312" w:cs="仿宋_GB2312"/>
                <w:sz w:val="28"/>
                <w:szCs w:val="28"/>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92DB">
            <w:pPr>
              <w:widowControl/>
              <w:jc w:val="center"/>
              <w:textAlignment w:val="center"/>
              <w:rPr>
                <w:rFonts w:ascii="仿宋_GB2312" w:hAnsi="仿宋_GB2312" w:cs="仿宋_GB2312"/>
                <w:sz w:val="28"/>
                <w:szCs w:val="28"/>
              </w:rPr>
            </w:pPr>
            <w:r>
              <w:rPr>
                <w:rFonts w:hint="eastAsia" w:ascii="仿宋_GB2312" w:hAnsi="仿宋_GB2312" w:cs="仿宋_GB2312"/>
                <w:sz w:val="28"/>
                <w:szCs w:val="28"/>
              </w:rPr>
              <w:t>产品</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7BBA">
            <w:pPr>
              <w:widowControl/>
              <w:jc w:val="center"/>
              <w:textAlignment w:val="center"/>
              <w:rPr>
                <w:rFonts w:ascii="仿宋_GB2312" w:hAnsi="仿宋_GB2312" w:cs="仿宋_GB2312"/>
                <w:sz w:val="28"/>
                <w:szCs w:val="28"/>
              </w:rPr>
            </w:pPr>
            <w:r>
              <w:rPr>
                <w:rFonts w:hint="eastAsia" w:ascii="仿宋_GB2312" w:hAnsi="仿宋_GB2312" w:cs="仿宋_GB2312"/>
                <w:sz w:val="28"/>
                <w:szCs w:val="28"/>
              </w:rPr>
              <w:t>品牌</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D8BE">
            <w:pPr>
              <w:widowControl/>
              <w:jc w:val="center"/>
              <w:textAlignment w:val="center"/>
              <w:rPr>
                <w:rFonts w:ascii="仿宋_GB2312" w:hAnsi="仿宋_GB2312" w:cs="仿宋_GB2312"/>
                <w:color w:val="FF0000"/>
                <w:sz w:val="28"/>
                <w:szCs w:val="28"/>
                <w:highlight w:val="yellow"/>
              </w:rPr>
            </w:pPr>
            <w:r>
              <w:rPr>
                <w:rFonts w:hint="eastAsia" w:ascii="仿宋_GB2312" w:hAnsi="仿宋_GB2312" w:cs="仿宋_GB2312"/>
                <w:sz w:val="28"/>
                <w:szCs w:val="28"/>
              </w:rPr>
              <w:t>具体名称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D006">
            <w:pPr>
              <w:widowControl/>
              <w:jc w:val="center"/>
              <w:textAlignment w:val="center"/>
              <w:rPr>
                <w:rFonts w:ascii="仿宋_GB2312" w:hAnsi="仿宋_GB2312" w:cs="仿宋_GB2312"/>
                <w:sz w:val="28"/>
                <w:szCs w:val="28"/>
              </w:rPr>
            </w:pPr>
            <w:r>
              <w:rPr>
                <w:rFonts w:hint="eastAsia" w:ascii="仿宋_GB2312" w:hAnsi="仿宋_GB2312" w:cs="仿宋_GB2312"/>
                <w:sz w:val="28"/>
                <w:szCs w:val="28"/>
              </w:rPr>
              <w:t>统一</w:t>
            </w:r>
          </w:p>
          <w:p w14:paraId="725561DB">
            <w:pPr>
              <w:widowControl/>
              <w:jc w:val="center"/>
              <w:textAlignment w:val="center"/>
              <w:rPr>
                <w:rFonts w:ascii="仿宋_GB2312" w:hAnsi="仿宋_GB2312" w:cs="仿宋_GB2312"/>
                <w:sz w:val="28"/>
                <w:szCs w:val="28"/>
              </w:rPr>
            </w:pPr>
            <w:r>
              <w:rPr>
                <w:rFonts w:hint="eastAsia" w:ascii="仿宋_GB2312" w:hAnsi="仿宋_GB2312" w:cs="仿宋_GB2312"/>
                <w:sz w:val="28"/>
                <w:szCs w:val="28"/>
              </w:rPr>
              <w:t>折扣率</w:t>
            </w:r>
          </w:p>
        </w:tc>
      </w:tr>
      <w:tr w14:paraId="6E30C0E8">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51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C0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炸鸡腿汉堡（辣）</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E13">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EEDE">
            <w:pPr>
              <w:widowControl/>
              <w:jc w:val="center"/>
              <w:textAlignment w:val="center"/>
              <w:rPr>
                <w:rFonts w:ascii="宋体" w:hAnsi="宋体" w:eastAsia="宋体" w:cs="宋体"/>
                <w:color w:val="000000"/>
                <w:kern w:val="0"/>
                <w:sz w:val="22"/>
                <w:szCs w:val="22"/>
              </w:rPr>
            </w:pPr>
          </w:p>
        </w:tc>
        <w:tc>
          <w:tcPr>
            <w:tcW w:w="1317" w:type="dxa"/>
            <w:vMerge w:val="restart"/>
            <w:tcBorders>
              <w:left w:val="single" w:color="000000" w:sz="4" w:space="0"/>
              <w:right w:val="single" w:color="000000" w:sz="4" w:space="0"/>
            </w:tcBorders>
            <w:shd w:val="clear" w:color="auto" w:fill="auto"/>
            <w:noWrap/>
            <w:vAlign w:val="center"/>
          </w:tcPr>
          <w:p w14:paraId="1B0CAF0D">
            <w:pPr>
              <w:widowControl/>
              <w:jc w:val="center"/>
              <w:textAlignment w:val="center"/>
              <w:rPr>
                <w:rFonts w:ascii="宋体" w:hAnsi="宋体" w:eastAsia="宋体" w:cs="宋体"/>
                <w:color w:val="000000"/>
                <w:kern w:val="0"/>
                <w:sz w:val="22"/>
                <w:szCs w:val="22"/>
              </w:rPr>
            </w:pPr>
          </w:p>
        </w:tc>
      </w:tr>
      <w:tr w14:paraId="472553D2">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AE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EF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炸鸡腿汉堡（不辣）</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E52A">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2209">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right w:val="single" w:color="000000" w:sz="4" w:space="0"/>
            </w:tcBorders>
            <w:shd w:val="clear" w:color="auto" w:fill="auto"/>
            <w:noWrap/>
            <w:vAlign w:val="center"/>
          </w:tcPr>
          <w:p w14:paraId="75AC0E1F">
            <w:pPr>
              <w:widowControl/>
              <w:jc w:val="center"/>
              <w:textAlignment w:val="center"/>
              <w:rPr>
                <w:rFonts w:ascii="宋体" w:hAnsi="宋体" w:eastAsia="宋体" w:cs="宋体"/>
                <w:color w:val="000000"/>
                <w:kern w:val="0"/>
                <w:sz w:val="22"/>
                <w:szCs w:val="22"/>
              </w:rPr>
            </w:pPr>
          </w:p>
        </w:tc>
      </w:tr>
      <w:tr w14:paraId="2B09039C">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2A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DD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烤鸡腿堡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5E70">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BF7E">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right w:val="single" w:color="000000" w:sz="4" w:space="0"/>
            </w:tcBorders>
            <w:shd w:val="clear" w:color="auto" w:fill="auto"/>
            <w:noWrap/>
            <w:vAlign w:val="center"/>
          </w:tcPr>
          <w:p w14:paraId="59BE8D2D">
            <w:pPr>
              <w:widowControl/>
              <w:jc w:val="center"/>
              <w:textAlignment w:val="center"/>
              <w:rPr>
                <w:rFonts w:ascii="宋体" w:hAnsi="宋体" w:eastAsia="宋体" w:cs="宋体"/>
                <w:color w:val="000000"/>
                <w:kern w:val="0"/>
                <w:sz w:val="22"/>
                <w:szCs w:val="22"/>
              </w:rPr>
            </w:pPr>
          </w:p>
        </w:tc>
      </w:tr>
      <w:tr w14:paraId="3577D4C8">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AB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4F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牛肉汉堡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3AA4">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BEBD">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right w:val="single" w:color="000000" w:sz="4" w:space="0"/>
            </w:tcBorders>
            <w:shd w:val="clear" w:color="auto" w:fill="auto"/>
            <w:noWrap/>
            <w:vAlign w:val="center"/>
          </w:tcPr>
          <w:p w14:paraId="4FF17941">
            <w:pPr>
              <w:widowControl/>
              <w:jc w:val="center"/>
              <w:textAlignment w:val="center"/>
              <w:rPr>
                <w:rFonts w:ascii="宋体" w:hAnsi="宋体" w:eastAsia="宋体" w:cs="宋体"/>
                <w:color w:val="000000"/>
                <w:kern w:val="0"/>
                <w:sz w:val="22"/>
                <w:szCs w:val="22"/>
              </w:rPr>
            </w:pPr>
          </w:p>
        </w:tc>
      </w:tr>
      <w:tr w14:paraId="41C308C4">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F1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E7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炸鸡(1块)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6725">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2AFB">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right w:val="single" w:color="000000" w:sz="4" w:space="0"/>
            </w:tcBorders>
            <w:shd w:val="clear" w:color="auto" w:fill="auto"/>
            <w:noWrap/>
            <w:vAlign w:val="center"/>
          </w:tcPr>
          <w:p w14:paraId="6C9FF900">
            <w:pPr>
              <w:widowControl/>
              <w:jc w:val="center"/>
              <w:textAlignment w:val="center"/>
              <w:rPr>
                <w:rFonts w:ascii="宋体" w:hAnsi="宋体" w:eastAsia="宋体" w:cs="宋体"/>
                <w:color w:val="000000"/>
                <w:kern w:val="0"/>
                <w:sz w:val="22"/>
                <w:szCs w:val="22"/>
              </w:rPr>
            </w:pPr>
          </w:p>
        </w:tc>
      </w:tr>
      <w:tr w14:paraId="1612EE26">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85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BF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鸡米花（小）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86F3">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4575">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right w:val="single" w:color="000000" w:sz="4" w:space="0"/>
            </w:tcBorders>
            <w:shd w:val="clear" w:color="auto" w:fill="auto"/>
            <w:noWrap/>
            <w:vAlign w:val="center"/>
          </w:tcPr>
          <w:p w14:paraId="568F03BF">
            <w:pPr>
              <w:widowControl/>
              <w:jc w:val="center"/>
              <w:textAlignment w:val="center"/>
              <w:rPr>
                <w:rFonts w:ascii="宋体" w:hAnsi="宋体" w:eastAsia="宋体" w:cs="宋体"/>
                <w:color w:val="000000"/>
                <w:kern w:val="0"/>
                <w:sz w:val="22"/>
                <w:szCs w:val="22"/>
              </w:rPr>
            </w:pPr>
          </w:p>
        </w:tc>
      </w:tr>
      <w:tr w14:paraId="37728463">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E2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2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炸鸡块(5块)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7144">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17A1">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right w:val="single" w:color="000000" w:sz="4" w:space="0"/>
            </w:tcBorders>
            <w:shd w:val="clear" w:color="auto" w:fill="auto"/>
            <w:noWrap/>
            <w:vAlign w:val="center"/>
          </w:tcPr>
          <w:p w14:paraId="6D52A158">
            <w:pPr>
              <w:widowControl/>
              <w:jc w:val="center"/>
              <w:textAlignment w:val="center"/>
              <w:rPr>
                <w:rFonts w:ascii="宋体" w:hAnsi="宋体" w:eastAsia="宋体" w:cs="宋体"/>
                <w:color w:val="000000"/>
                <w:kern w:val="0"/>
                <w:sz w:val="22"/>
                <w:szCs w:val="22"/>
              </w:rPr>
            </w:pPr>
          </w:p>
        </w:tc>
      </w:tr>
      <w:tr w14:paraId="743BC637">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A3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E5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烤鸡翅(2块)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B5C6">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D4DA">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right w:val="single" w:color="000000" w:sz="4" w:space="0"/>
            </w:tcBorders>
            <w:shd w:val="clear" w:color="auto" w:fill="auto"/>
            <w:noWrap/>
            <w:vAlign w:val="center"/>
          </w:tcPr>
          <w:p w14:paraId="6C683320">
            <w:pPr>
              <w:widowControl/>
              <w:jc w:val="center"/>
              <w:textAlignment w:val="center"/>
              <w:rPr>
                <w:rFonts w:ascii="宋体" w:hAnsi="宋体" w:eastAsia="宋体" w:cs="宋体"/>
                <w:color w:val="000000"/>
                <w:kern w:val="0"/>
                <w:sz w:val="22"/>
                <w:szCs w:val="22"/>
              </w:rPr>
            </w:pPr>
          </w:p>
        </w:tc>
      </w:tr>
      <w:tr w14:paraId="6B058559">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D1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67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炸鸡翅(2块)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A7DD">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7719">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right w:val="single" w:color="000000" w:sz="4" w:space="0"/>
            </w:tcBorders>
            <w:shd w:val="clear" w:color="auto" w:fill="auto"/>
            <w:noWrap/>
            <w:vAlign w:val="center"/>
          </w:tcPr>
          <w:p w14:paraId="5714C384">
            <w:pPr>
              <w:widowControl/>
              <w:jc w:val="center"/>
              <w:textAlignment w:val="center"/>
              <w:rPr>
                <w:rFonts w:ascii="宋体" w:hAnsi="宋体" w:eastAsia="宋体" w:cs="宋体"/>
                <w:color w:val="000000"/>
                <w:kern w:val="0"/>
                <w:sz w:val="22"/>
                <w:szCs w:val="22"/>
              </w:rPr>
            </w:pPr>
          </w:p>
        </w:tc>
      </w:tr>
      <w:tr w14:paraId="40F272B4">
        <w:tblPrEx>
          <w:tblCellMar>
            <w:top w:w="0" w:type="dxa"/>
            <w:left w:w="108" w:type="dxa"/>
            <w:bottom w:w="0" w:type="dxa"/>
            <w:right w:w="108" w:type="dxa"/>
          </w:tblCellMar>
        </w:tblPrEx>
        <w:trPr>
          <w:trHeight w:val="62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0C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B1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薯条（小份）</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71E5">
            <w:pPr>
              <w:widowControl/>
              <w:jc w:val="center"/>
              <w:textAlignment w:val="center"/>
              <w:rPr>
                <w:rFonts w:ascii="宋体" w:hAnsi="宋体" w:eastAsia="宋体" w:cs="宋体"/>
                <w:color w:val="000000"/>
                <w:kern w:val="0"/>
                <w:sz w:val="22"/>
                <w:szCs w:val="22"/>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5157">
            <w:pPr>
              <w:widowControl/>
              <w:jc w:val="center"/>
              <w:textAlignment w:val="center"/>
              <w:rPr>
                <w:rFonts w:ascii="宋体" w:hAnsi="宋体" w:eastAsia="宋体" w:cs="宋体"/>
                <w:color w:val="000000"/>
                <w:kern w:val="0"/>
                <w:sz w:val="22"/>
                <w:szCs w:val="22"/>
              </w:rPr>
            </w:pPr>
          </w:p>
        </w:tc>
        <w:tc>
          <w:tcPr>
            <w:tcW w:w="1317" w:type="dxa"/>
            <w:vMerge w:val="continue"/>
            <w:tcBorders>
              <w:left w:val="single" w:color="000000" w:sz="4" w:space="0"/>
              <w:bottom w:val="single" w:color="000000" w:sz="4" w:space="0"/>
              <w:right w:val="single" w:color="000000" w:sz="4" w:space="0"/>
            </w:tcBorders>
            <w:shd w:val="clear" w:color="auto" w:fill="auto"/>
            <w:noWrap/>
            <w:vAlign w:val="center"/>
          </w:tcPr>
          <w:p w14:paraId="7E3C27EB">
            <w:pPr>
              <w:widowControl/>
              <w:jc w:val="center"/>
              <w:textAlignment w:val="center"/>
              <w:rPr>
                <w:rFonts w:ascii="宋体" w:hAnsi="宋体" w:eastAsia="宋体" w:cs="宋体"/>
                <w:color w:val="000000"/>
                <w:kern w:val="0"/>
                <w:sz w:val="22"/>
                <w:szCs w:val="22"/>
              </w:rPr>
            </w:pPr>
          </w:p>
        </w:tc>
      </w:tr>
    </w:tbl>
    <w:p w14:paraId="7F27337D">
      <w:pPr>
        <w:pStyle w:val="5"/>
        <w:spacing w:before="0" w:beforeAutospacing="0" w:after="0" w:afterAutospacing="0" w:line="500" w:lineRule="exact"/>
        <w:rPr>
          <w:rFonts w:ascii="仿宋" w:hAnsi="仿宋" w:eastAsia="仿宋" w:cs="仿宋"/>
          <w:sz w:val="28"/>
          <w:szCs w:val="28"/>
        </w:rPr>
      </w:pPr>
      <w:r>
        <w:rPr>
          <w:rFonts w:hint="eastAsia" w:ascii="仿宋_GB2312" w:hAnsi="仿宋_GB2312" w:cs="仿宋_GB2312"/>
          <w:sz w:val="28"/>
          <w:szCs w:val="28"/>
        </w:rPr>
        <w:t>三、</w:t>
      </w:r>
      <w:r>
        <w:rPr>
          <w:rFonts w:hint="eastAsia" w:ascii="仿宋" w:hAnsi="仿宋" w:eastAsia="仿宋" w:cs="仿宋"/>
          <w:sz w:val="28"/>
          <w:szCs w:val="28"/>
        </w:rPr>
        <w:t>交付时间、地点和条件</w:t>
      </w:r>
    </w:p>
    <w:p w14:paraId="638B46A5">
      <w:pPr>
        <w:pStyle w:val="5"/>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3.1交付时间：</w:t>
      </w:r>
      <w:r>
        <w:rPr>
          <w:rFonts w:hint="eastAsia" w:ascii="仿宋" w:hAnsi="仿宋" w:eastAsia="仿宋" w:cs="仿宋"/>
          <w:sz w:val="28"/>
          <w:szCs w:val="28"/>
          <w:u w:val="single"/>
        </w:rPr>
        <w:t>接到招标人通知之日起48小时内配送完毕。</w:t>
      </w:r>
    </w:p>
    <w:p w14:paraId="389A6A1E">
      <w:pPr>
        <w:pStyle w:val="5"/>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3.2交付地点：</w:t>
      </w:r>
      <w:r>
        <w:rPr>
          <w:rFonts w:hint="eastAsia" w:ascii="仿宋" w:hAnsi="仿宋" w:eastAsia="仿宋" w:cs="仿宋"/>
          <w:sz w:val="28"/>
          <w:szCs w:val="28"/>
          <w:u w:val="single"/>
        </w:rPr>
        <w:t>厦门市翔安区新圩镇桂林村七里300号  </w:t>
      </w:r>
      <w:r>
        <w:rPr>
          <w:rFonts w:hint="eastAsia" w:ascii="仿宋" w:hAnsi="仿宋" w:eastAsia="仿宋" w:cs="仿宋"/>
          <w:sz w:val="28"/>
          <w:szCs w:val="28"/>
        </w:rPr>
        <w:t>；</w:t>
      </w:r>
    </w:p>
    <w:p w14:paraId="56FE628D">
      <w:pPr>
        <w:pStyle w:val="5"/>
        <w:spacing w:before="0" w:beforeAutospacing="0" w:after="0" w:afterAutospacing="0" w:line="500" w:lineRule="exact"/>
        <w:rPr>
          <w:rFonts w:ascii="仿宋_GB2312" w:hAnsi="仿宋_GB2312" w:cs="仿宋_GB2312"/>
          <w:sz w:val="28"/>
          <w:szCs w:val="28"/>
        </w:rPr>
      </w:pPr>
      <w:r>
        <w:rPr>
          <w:rFonts w:hint="eastAsia" w:ascii="仿宋" w:hAnsi="仿宋" w:eastAsia="仿宋" w:cs="仿宋"/>
          <w:sz w:val="28"/>
          <w:szCs w:val="28"/>
        </w:rPr>
        <w:t>3.3交付条件：</w:t>
      </w:r>
      <w:r>
        <w:rPr>
          <w:rFonts w:hint="eastAsia" w:ascii="仿宋" w:hAnsi="仿宋" w:eastAsia="仿宋" w:cs="仿宋"/>
          <w:sz w:val="28"/>
          <w:szCs w:val="28"/>
          <w:u w:val="single"/>
        </w:rPr>
        <w:t> 现场交货，经甲方验收合格后 </w:t>
      </w:r>
      <w:r>
        <w:rPr>
          <w:rFonts w:hint="eastAsia" w:ascii="仿宋" w:hAnsi="仿宋" w:eastAsia="仿宋" w:cs="仿宋"/>
          <w:sz w:val="28"/>
          <w:szCs w:val="28"/>
        </w:rPr>
        <w:t>。</w:t>
      </w:r>
    </w:p>
    <w:p w14:paraId="278E6A87">
      <w:pPr>
        <w:pStyle w:val="5"/>
        <w:spacing w:before="0" w:beforeAutospacing="0" w:after="0" w:afterAutospacing="0" w:line="500" w:lineRule="exact"/>
        <w:rPr>
          <w:rFonts w:ascii="仿宋" w:hAnsi="仿宋" w:eastAsia="仿宋" w:cs="仿宋"/>
          <w:sz w:val="28"/>
          <w:szCs w:val="28"/>
        </w:rPr>
      </w:pPr>
      <w:r>
        <w:rPr>
          <w:rFonts w:hint="eastAsia" w:ascii="仿宋_GB2312" w:hAnsi="仿宋_GB2312" w:cs="仿宋_GB2312"/>
          <w:sz w:val="28"/>
          <w:szCs w:val="28"/>
        </w:rPr>
        <w:t>四、</w:t>
      </w:r>
      <w:r>
        <w:rPr>
          <w:rFonts w:hint="eastAsia" w:ascii="仿宋" w:hAnsi="仿宋" w:eastAsia="仿宋" w:cs="仿宋"/>
          <w:sz w:val="28"/>
          <w:szCs w:val="28"/>
        </w:rPr>
        <w:t>付款方式，具体如下：</w:t>
      </w:r>
    </w:p>
    <w:p w14:paraId="41BA381D">
      <w:pPr>
        <w:pStyle w:val="6"/>
        <w:spacing w:after="0" w:line="500" w:lineRule="exact"/>
        <w:ind w:left="0" w:leftChars="0" w:firstLine="0"/>
        <w:rPr>
          <w:rFonts w:ascii="仿宋" w:hAnsi="仿宋" w:eastAsia="仿宋" w:cs="仿宋"/>
          <w:kern w:val="0"/>
          <w:sz w:val="28"/>
          <w:szCs w:val="28"/>
        </w:rPr>
      </w:pPr>
      <w:r>
        <w:rPr>
          <w:rFonts w:hint="eastAsia" w:ascii="仿宋" w:hAnsi="仿宋" w:eastAsia="仿宋" w:cs="仿宋"/>
          <w:kern w:val="0"/>
          <w:sz w:val="28"/>
          <w:szCs w:val="28"/>
        </w:rPr>
        <w:t>4.1每月结算一次，经招标人验收合格，中标人在每个结算周期后向招标人提供合法有效的等额增值税专用发票（发票须为中标人开具）及相关材料，招标人在收到发票及相关材料后10个工作日内支付货款。</w:t>
      </w:r>
    </w:p>
    <w:p w14:paraId="6947F7BD">
      <w:pPr>
        <w:pStyle w:val="5"/>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4.2合同结算价=基准价</w:t>
      </w:r>
      <w:r>
        <w:rPr>
          <w:rFonts w:hint="eastAsia" w:ascii="仿宋" w:hAnsi="仿宋" w:eastAsia="仿宋" w:cs="仿宋"/>
          <w:sz w:val="28"/>
          <w:szCs w:val="28"/>
          <w:lang w:val="zh-CN"/>
        </w:rPr>
        <w:t>×折扣率×数量。</w:t>
      </w:r>
    </w:p>
    <w:p w14:paraId="27C5A408">
      <w:pPr>
        <w:pStyle w:val="5"/>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五、违约责任</w:t>
      </w:r>
    </w:p>
    <w:p w14:paraId="1E2B0E5B">
      <w:pPr>
        <w:pStyle w:val="5"/>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5.1中标人配送的食品，经招标人验收，产品质量不合格的，招标人有权退货并责令中标人更换合格产品，并处相应违约金:第一次500元，第二次1000元，第三次或三次以上，每次2000元。（注：因包装破损导致的退换货，中标人能在招标人规定时间内及时更换合格产品的可不按本条款进行处罚）</w:t>
      </w:r>
    </w:p>
    <w:p w14:paraId="11639D69">
      <w:pPr>
        <w:pStyle w:val="5"/>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5.2因数量误差及验收不合格产生的补、换货，由此造成的配送不及时，如果对招标人的工作产生了严重的不良后果，按本批物品量采购价值的3倍给予处罚。</w:t>
      </w:r>
    </w:p>
    <w:p w14:paraId="27F8F133">
      <w:pPr>
        <w:pStyle w:val="5"/>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5.3因不可抗力因素造成中标人供应能力受到影响，无法正常供货或需要从其他渠道供货，中标人应及时通报不能履行或不能完全履行的理由，并在15日内向招标人提供不可抗力发生及持续期间的充分证据，招标人视情可对中标人部分或全部免于承担违约责任。否则视为违约，招标人有权终止合同，对招标人造成损失的，中标人另行支付相应的赔偿。</w:t>
      </w:r>
    </w:p>
    <w:p w14:paraId="11CA3F92">
      <w:pPr>
        <w:pStyle w:val="5"/>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5.4中标人配送的食品，经卫生检疫部门认定是因质量等问题而使招标人人员发生食物中毒事件或发生死亡安全事故的，招标人一切经济损失均由中标人负责，同时要承担相关的赔偿责任和法律责任。</w:t>
      </w:r>
    </w:p>
    <w:p w14:paraId="5B3CB6DB">
      <w:pPr>
        <w:pStyle w:val="6"/>
        <w:spacing w:after="0" w:line="500" w:lineRule="exact"/>
        <w:ind w:left="0" w:leftChars="0" w:firstLine="0"/>
        <w:rPr>
          <w:rFonts w:ascii="仿宋" w:hAnsi="仿宋" w:eastAsia="仿宋" w:cs="仿宋"/>
          <w:kern w:val="0"/>
          <w:sz w:val="28"/>
          <w:szCs w:val="28"/>
        </w:rPr>
      </w:pPr>
      <w:r>
        <w:rPr>
          <w:rFonts w:hint="eastAsia" w:ascii="仿宋" w:hAnsi="仿宋" w:eastAsia="仿宋" w:cs="仿宋"/>
          <w:sz w:val="28"/>
          <w:szCs w:val="28"/>
        </w:rPr>
        <w:t>5.5中标人如果将合同业务转包他人，招标人有权终止合同，并要求中</w:t>
      </w:r>
      <w:r>
        <w:rPr>
          <w:rFonts w:hint="eastAsia" w:ascii="仿宋" w:hAnsi="仿宋" w:eastAsia="仿宋" w:cs="仿宋"/>
          <w:kern w:val="0"/>
          <w:sz w:val="28"/>
          <w:szCs w:val="28"/>
        </w:rPr>
        <w:t>标人赔偿相应损失。</w:t>
      </w:r>
    </w:p>
    <w:p w14:paraId="5920EC3A">
      <w:pPr>
        <w:pStyle w:val="6"/>
        <w:spacing w:after="0" w:line="500" w:lineRule="exact"/>
        <w:ind w:left="0" w:leftChars="0" w:firstLine="0"/>
        <w:rPr>
          <w:rFonts w:ascii="仿宋" w:hAnsi="仿宋" w:eastAsia="仿宋" w:cs="仿宋"/>
          <w:kern w:val="0"/>
          <w:sz w:val="28"/>
          <w:szCs w:val="28"/>
        </w:rPr>
      </w:pPr>
      <w:r>
        <w:rPr>
          <w:rFonts w:hint="eastAsia" w:ascii="仿宋" w:hAnsi="仿宋" w:eastAsia="仿宋" w:cs="仿宋"/>
          <w:kern w:val="0"/>
          <w:sz w:val="28"/>
          <w:szCs w:val="28"/>
        </w:rPr>
        <w:t>5.6中标人进入招标人生产区域的工作人员必须遵守招标人的工作制度和监管安全规定，服从招标人人员的指挥。不得为违规传递信息、现金、手机、毒品、枪支、刀具等违禁品、违规品，若有发现经核查属实的，中标人须马上更换工作人员，并向招标人支付20000元的违约金,情节严重的应承担相应的法律责任。发生二次（含）以上或造成严重后果的，招标人有权单方解除合同。</w:t>
      </w:r>
    </w:p>
    <w:p w14:paraId="7A724867">
      <w:pPr>
        <w:pStyle w:val="6"/>
        <w:spacing w:after="0" w:line="500" w:lineRule="exact"/>
        <w:ind w:left="0" w:leftChars="0" w:firstLine="0"/>
        <w:rPr>
          <w:rFonts w:ascii="仿宋" w:hAnsi="仿宋" w:eastAsia="仿宋" w:cs="仿宋"/>
          <w:bCs/>
          <w:sz w:val="28"/>
          <w:szCs w:val="28"/>
        </w:rPr>
      </w:pPr>
      <w:r>
        <w:rPr>
          <w:rFonts w:hint="eastAsia" w:ascii="仿宋" w:hAnsi="仿宋" w:eastAsia="仿宋" w:cs="仿宋"/>
          <w:kern w:val="0"/>
          <w:sz w:val="28"/>
          <w:szCs w:val="28"/>
        </w:rPr>
        <w:t>5.7在合同履行期间，若遇政府部门或上级单位出台有关该</w:t>
      </w:r>
      <w:r>
        <w:rPr>
          <w:rFonts w:hint="eastAsia" w:ascii="仿宋" w:hAnsi="仿宋" w:eastAsia="仿宋" w:cs="仿宋"/>
          <w:bCs/>
          <w:sz w:val="28"/>
          <w:szCs w:val="28"/>
        </w:rPr>
        <w:t xml:space="preserve">项目的政策调整，继续履行合同违反相关政策文件要求的，招标人须提前10日通知中标人终止合同，因此造成的合同解除招标人不承担违约责任。    </w:t>
      </w:r>
    </w:p>
    <w:p w14:paraId="38183B09">
      <w:pPr>
        <w:spacing w:line="500" w:lineRule="exact"/>
        <w:rPr>
          <w:rFonts w:ascii="仿宋" w:hAnsi="仿宋" w:eastAsia="仿宋" w:cs="仿宋"/>
          <w:sz w:val="28"/>
          <w:szCs w:val="28"/>
        </w:rPr>
      </w:pPr>
      <w:r>
        <w:rPr>
          <w:rFonts w:hint="eastAsia" w:ascii="仿宋" w:hAnsi="仿宋" w:eastAsia="仿宋" w:cs="仿宋"/>
          <w:sz w:val="28"/>
          <w:szCs w:val="28"/>
        </w:rPr>
        <w:t>5.8除上述违约条款外，中标人未履行合同有关规定的其他事项或服务要求的、每发现一次，需向招标人缴纳违约金500元，累计3次招标人有权终止合同，对招标人造成损失的，中标人另行支付相应的赔偿。</w:t>
      </w:r>
    </w:p>
    <w:p w14:paraId="60595CA6">
      <w:pPr>
        <w:spacing w:line="500" w:lineRule="exact"/>
        <w:rPr>
          <w:rFonts w:ascii="仿宋" w:hAnsi="仿宋" w:eastAsia="仿宋" w:cs="仿宋"/>
          <w:sz w:val="28"/>
          <w:szCs w:val="28"/>
        </w:rPr>
      </w:pPr>
      <w:r>
        <w:rPr>
          <w:rFonts w:hint="eastAsia" w:ascii="仿宋" w:hAnsi="仿宋" w:eastAsia="仿宋" w:cs="仿宋"/>
          <w:sz w:val="28"/>
          <w:szCs w:val="28"/>
        </w:rPr>
        <w:t>5.9中标人应缴纳的违约金可直接从货款中扣除，不足部分由中标人缴纳补足；违约金不足以弥补给招标人造成的损失的，中标人还应承担相应的赔偿责任。</w:t>
      </w:r>
    </w:p>
    <w:p w14:paraId="21F728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34689"/>
    <w:rsid w:val="17134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kern w:val="3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3">
    <w:name w:val="Body Text Indent"/>
    <w:basedOn w:val="1"/>
    <w:qFormat/>
    <w:uiPriority w:val="0"/>
    <w:pPr>
      <w:spacing w:after="120"/>
      <w:ind w:left="420" w:leftChars="200"/>
    </w:pPr>
  </w:style>
  <w:style w:type="paragraph" w:styleId="4">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5">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99"/>
    <w:pPr>
      <w:tabs>
        <w:tab w:val="left" w:pos="4606"/>
      </w:tabs>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2025-11-03T06:13:00Z</dcterms:created>
  <dc:creator>Cai</dc:creator>
  <cp:lastModifiedBy>Cai</cp:lastModifiedBy>
  <dcterms:modified xsi:type="dcterms:W3CDTF">2025-11-03T09:23:29Z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B1C217E990A54484ADFD233CD90301C2_11</vt:lpwstr>
  </property>
  <property fmtid="{D5CDD505-2E9C-101B-9397-08002B2CF9AE}" pid="4" name="KSOTemplateDocerSaveRecord">
    <vt:lpwstr>eyJoZGlkIjoiM2I3ZjQzNWZkOGQ1Nzk4NTAzYmRkMzM2ODlhNDc5OTUiLCJ1c2VySWQiOiIzNzA4MDA5MzYifQ==</vt:lpwstr>
  </property>
</Properties>
</file>