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7AA1D">
      <w:pPr>
        <w:pageBreakBefore w:val="0"/>
        <w:kinsoku/>
        <w:wordWrap/>
        <w:overflowPunct/>
        <w:topLinePunct w:val="0"/>
        <w:autoSpaceDE/>
        <w:autoSpaceDN/>
        <w:bidi w:val="0"/>
        <w:spacing w:line="440" w:lineRule="exact"/>
        <w:jc w:val="center"/>
        <w:textAlignment w:val="auto"/>
        <w:outlineLvl w:val="0"/>
        <w:rPr>
          <w:rFonts w:hint="eastAsia" w:ascii="方正仿宋_GB2312" w:hAnsi="方正仿宋_GB2312" w:eastAsia="方正仿宋_GB2312" w:cs="方正仿宋_GB2312"/>
          <w:sz w:val="28"/>
          <w:szCs w:val="28"/>
        </w:rPr>
      </w:pPr>
      <w:r>
        <w:rPr>
          <w:rStyle w:val="9"/>
          <w:rFonts w:hint="eastAsia" w:ascii="方正仿宋_GB2312" w:hAnsi="方正仿宋_GB2312" w:eastAsia="方正仿宋_GB2312" w:cs="方正仿宋_GB2312"/>
          <w:sz w:val="28"/>
          <w:szCs w:val="28"/>
        </w:rPr>
        <w:t>采购内容及要求</w:t>
      </w:r>
    </w:p>
    <w:p w14:paraId="6B39FD68">
      <w:pPr>
        <w:pStyle w:val="6"/>
        <w:pageBreakBefore w:val="0"/>
        <w:widowControl/>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一、项目概况</w:t>
      </w:r>
    </w:p>
    <w:p w14:paraId="2EF3B23B">
      <w:pPr>
        <w:pStyle w:val="6"/>
        <w:pageBreakBefore w:val="0"/>
        <w:kinsoku/>
        <w:wordWrap/>
        <w:overflowPunct/>
        <w:topLinePunct w:val="0"/>
        <w:autoSpaceDE/>
        <w:autoSpaceDN/>
        <w:bidi w:val="0"/>
        <w:spacing w:beforeAutospacing="0" w:afterAutospacing="0" w:line="44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1.</w:t>
      </w:r>
      <w:r>
        <w:rPr>
          <w:rFonts w:hint="eastAsia" w:ascii="方正仿宋_GB2312" w:hAnsi="方正仿宋_GB2312" w:eastAsia="方正仿宋_GB2312" w:cs="方正仿宋_GB2312"/>
          <w:sz w:val="28"/>
          <w:szCs w:val="28"/>
        </w:rPr>
        <w:t>本项目为翔安监狱网络等级保护测评、咨询服务项目。</w:t>
      </w:r>
    </w:p>
    <w:p w14:paraId="23F4DC81">
      <w:pPr>
        <w:pStyle w:val="6"/>
        <w:pageBreakBefore w:val="0"/>
        <w:widowControl/>
        <w:kinsoku/>
        <w:wordWrap/>
        <w:overflowPunct/>
        <w:topLinePunct w:val="0"/>
        <w:autoSpaceDE/>
        <w:autoSpaceDN/>
        <w:bidi w:val="0"/>
        <w:spacing w:beforeAutospacing="0" w:afterAutospacing="0" w:line="440" w:lineRule="exact"/>
        <w:ind w:firstLine="482"/>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lang w:eastAsia="zh-CN"/>
        </w:rPr>
        <w:t>2.</w:t>
      </w:r>
      <w:r>
        <w:rPr>
          <w:rFonts w:hint="eastAsia" w:ascii="方正仿宋_GB2312" w:hAnsi="方正仿宋_GB2312" w:eastAsia="方正仿宋_GB2312" w:cs="方正仿宋_GB2312"/>
          <w:color w:val="000000"/>
          <w:kern w:val="2"/>
          <w:sz w:val="28"/>
          <w:szCs w:val="28"/>
        </w:rPr>
        <w:t>福建省翔安监狱信息化建设项目（一期）主要承载的业务是：提供数据配置、视频管理、门禁管理、巡更管理、报警管理、三维地图、日志管理、用户管理、应用管理、登记管理、窗口管理、流程管理、视频监控等功能。</w:t>
      </w:r>
    </w:p>
    <w:p w14:paraId="7D2DBBD4">
      <w:pPr>
        <w:pStyle w:val="6"/>
        <w:pageBreakBefore w:val="0"/>
        <w:widowControl/>
        <w:kinsoku/>
        <w:wordWrap/>
        <w:overflowPunct/>
        <w:topLinePunct w:val="0"/>
        <w:autoSpaceDE/>
        <w:autoSpaceDN/>
        <w:bidi w:val="0"/>
        <w:spacing w:beforeAutospacing="0" w:afterAutospacing="0" w:line="440" w:lineRule="exact"/>
        <w:ind w:firstLine="482"/>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lang w:eastAsia="zh-CN"/>
        </w:rPr>
        <w:t>3.</w:t>
      </w:r>
      <w:r>
        <w:rPr>
          <w:rFonts w:hint="eastAsia" w:ascii="方正仿宋_GB2312" w:hAnsi="方正仿宋_GB2312" w:eastAsia="方正仿宋_GB2312" w:cs="方正仿宋_GB2312"/>
          <w:color w:val="000000"/>
          <w:kern w:val="2"/>
          <w:sz w:val="28"/>
          <w:szCs w:val="28"/>
        </w:rPr>
        <w:t>依据公安部关于印发《信息安全等级保护管理办法》</w:t>
      </w:r>
      <w:r>
        <w:rPr>
          <w:rFonts w:hint="eastAsia" w:ascii="方正仿宋_GB2312" w:hAnsi="方正仿宋_GB2312" w:eastAsia="方正仿宋_GB2312" w:cs="方正仿宋_GB2312"/>
          <w:color w:val="000000"/>
          <w:kern w:val="2"/>
          <w:sz w:val="28"/>
          <w:szCs w:val="28"/>
          <w:lang w:eastAsia="zh-CN"/>
        </w:rPr>
        <w:t>（</w:t>
      </w:r>
      <w:r>
        <w:rPr>
          <w:rFonts w:hint="eastAsia" w:ascii="方正仿宋_GB2312" w:hAnsi="方正仿宋_GB2312" w:eastAsia="方正仿宋_GB2312" w:cs="方正仿宋_GB2312"/>
          <w:color w:val="000000"/>
          <w:kern w:val="2"/>
          <w:sz w:val="28"/>
          <w:szCs w:val="28"/>
        </w:rPr>
        <w:t>公通字</w:t>
      </w:r>
      <w:r>
        <w:rPr>
          <w:rFonts w:hint="eastAsia" w:ascii="方正仿宋_GB2312" w:hAnsi="方正仿宋_GB2312" w:eastAsia="方正仿宋_GB2312" w:cs="方正仿宋_GB2312"/>
          <w:color w:val="000000"/>
          <w:kern w:val="2"/>
          <w:sz w:val="28"/>
          <w:szCs w:val="28"/>
          <w:lang w:eastAsia="zh-CN"/>
        </w:rPr>
        <w:t>〔2007〕</w:t>
      </w:r>
      <w:r>
        <w:rPr>
          <w:rFonts w:hint="eastAsia" w:ascii="方正仿宋_GB2312" w:hAnsi="方正仿宋_GB2312" w:eastAsia="方正仿宋_GB2312" w:cs="方正仿宋_GB2312"/>
          <w:color w:val="000000"/>
          <w:kern w:val="2"/>
          <w:sz w:val="28"/>
          <w:szCs w:val="28"/>
        </w:rPr>
        <w:t xml:space="preserve">43 号 </w:t>
      </w:r>
      <w:r>
        <w:rPr>
          <w:rFonts w:hint="eastAsia" w:ascii="方正仿宋_GB2312" w:hAnsi="方正仿宋_GB2312" w:eastAsia="方正仿宋_GB2312" w:cs="方正仿宋_GB2312"/>
          <w:color w:val="000000"/>
          <w:kern w:val="2"/>
          <w:sz w:val="28"/>
          <w:szCs w:val="28"/>
          <w:lang w:eastAsia="zh-CN"/>
        </w:rPr>
        <w:t>）</w:t>
      </w:r>
      <w:r>
        <w:rPr>
          <w:rFonts w:hint="eastAsia" w:ascii="方正仿宋_GB2312" w:hAnsi="方正仿宋_GB2312" w:eastAsia="方正仿宋_GB2312" w:cs="方正仿宋_GB2312"/>
          <w:color w:val="000000"/>
          <w:kern w:val="2"/>
          <w:sz w:val="28"/>
          <w:szCs w:val="28"/>
        </w:rPr>
        <w:t>的通知第十四条：信息系统建设完成后，运营、使用单位应当依据《信息系统安全等级保护测评要求》等技术标准，定期对信息系统安全等级状况开展等级测评。</w:t>
      </w:r>
    </w:p>
    <w:p w14:paraId="59F4DAB5">
      <w:pPr>
        <w:pStyle w:val="6"/>
        <w:pageBreakBefore w:val="0"/>
        <w:kinsoku/>
        <w:wordWrap/>
        <w:overflowPunct/>
        <w:topLinePunct w:val="0"/>
        <w:autoSpaceDE/>
        <w:autoSpaceDN/>
        <w:bidi w:val="0"/>
        <w:spacing w:beforeAutospacing="0" w:afterAutospacing="0" w:line="44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2"/>
          <w:sz w:val="28"/>
          <w:szCs w:val="28"/>
          <w:lang w:eastAsia="zh-CN"/>
        </w:rPr>
        <w:t>4.</w:t>
      </w:r>
      <w:r>
        <w:rPr>
          <w:rFonts w:hint="eastAsia" w:ascii="方正仿宋_GB2312" w:hAnsi="方正仿宋_GB2312" w:eastAsia="方正仿宋_GB2312" w:cs="方正仿宋_GB2312"/>
          <w:color w:val="000000"/>
          <w:kern w:val="2"/>
          <w:sz w:val="28"/>
          <w:szCs w:val="28"/>
        </w:rPr>
        <w:t>为提高翔安监狱非涉密重要信息系统安全防护能力，保障信息化重要网络设施、信息系统及数据安全，按照《信息安全等级保护管理办法》《信息安全技术⽹络安全等级保护基本要求》（GB/T22239-2019）、《信息安全技术网络安全等级保护测评要求》（GB/T28448-2019）、《信息安全技术网络安全等级保护 定级指南》（G</w:t>
      </w:r>
      <w:r>
        <w:rPr>
          <w:rFonts w:hint="eastAsia" w:ascii="方正仿宋_GB2312" w:hAnsi="方正仿宋_GB2312" w:eastAsia="方正仿宋_GB2312" w:cs="方正仿宋_GB2312"/>
          <w:kern w:val="2"/>
          <w:sz w:val="28"/>
          <w:szCs w:val="28"/>
        </w:rPr>
        <w:t>B/T22240-2020）、《信息安全技术网络安全保护等级实施指南》（GB/T25058-2019）等文件要求，拟对</w:t>
      </w:r>
      <w:r>
        <w:rPr>
          <w:rFonts w:hint="eastAsia" w:ascii="方正仿宋_GB2312" w:hAnsi="方正仿宋_GB2312" w:eastAsia="方正仿宋_GB2312" w:cs="方正仿宋_GB2312"/>
          <w:color w:val="000000"/>
          <w:kern w:val="2"/>
          <w:sz w:val="28"/>
          <w:szCs w:val="28"/>
        </w:rPr>
        <w:t>福建省翔安监狱信息化建设项目（一期）</w:t>
      </w:r>
      <w:r>
        <w:rPr>
          <w:rFonts w:hint="eastAsia" w:ascii="方正仿宋_GB2312" w:hAnsi="方正仿宋_GB2312" w:eastAsia="方正仿宋_GB2312" w:cs="方正仿宋_GB2312"/>
          <w:kern w:val="2"/>
          <w:sz w:val="28"/>
          <w:szCs w:val="28"/>
        </w:rPr>
        <w:t>进行等级保护复测评，进一步完善翔安监狱的信息系统安全管理体系和技术防护体系，增强信息安全保护意识、明确信息安全保障重点、落实信息安全责任等工作，切实提高翔安监狱</w:t>
      </w:r>
      <w:r>
        <w:rPr>
          <w:rFonts w:hint="eastAsia" w:ascii="方正仿宋_GB2312" w:hAnsi="方正仿宋_GB2312" w:eastAsia="方正仿宋_GB2312" w:cs="方正仿宋_GB2312"/>
          <w:kern w:val="2"/>
          <w:sz w:val="28"/>
          <w:szCs w:val="28"/>
          <w:lang w:eastAsia="zh-CN"/>
        </w:rPr>
        <w:t>信息</w:t>
      </w:r>
      <w:r>
        <w:rPr>
          <w:rFonts w:hint="eastAsia" w:ascii="方正仿宋_GB2312" w:hAnsi="方正仿宋_GB2312" w:eastAsia="方正仿宋_GB2312" w:cs="方正仿宋_GB2312"/>
          <w:kern w:val="2"/>
          <w:sz w:val="28"/>
          <w:szCs w:val="28"/>
        </w:rPr>
        <w:t>系统安全防护能力。</w:t>
      </w:r>
    </w:p>
    <w:p w14:paraId="1FC36BC5">
      <w:pPr>
        <w:pStyle w:val="6"/>
        <w:pageBreakBefore w:val="0"/>
        <w:kinsoku/>
        <w:wordWrap/>
        <w:overflowPunct/>
        <w:topLinePunct w:val="0"/>
        <w:autoSpaceDE/>
        <w:autoSpaceDN/>
        <w:bidi w:val="0"/>
        <w:spacing w:beforeAutospacing="0" w:afterAutospacing="0" w:line="440" w:lineRule="exact"/>
        <w:ind w:firstLine="48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5.</w:t>
      </w:r>
      <w:r>
        <w:rPr>
          <w:rFonts w:hint="eastAsia" w:ascii="方正仿宋_GB2312" w:hAnsi="方正仿宋_GB2312" w:eastAsia="方正仿宋_GB2312" w:cs="方正仿宋_GB2312"/>
          <w:sz w:val="28"/>
          <w:szCs w:val="28"/>
        </w:rPr>
        <w:t>供应商应按采购包响应，对采购包内所有内容响应时必须完整。评审与授予以采购包为单位。</w:t>
      </w:r>
    </w:p>
    <w:p w14:paraId="3A51D65B">
      <w:pPr>
        <w:pStyle w:val="6"/>
        <w:pageBreakBefore w:val="0"/>
        <w:kinsoku/>
        <w:wordWrap/>
        <w:overflowPunct/>
        <w:topLinePunct w:val="0"/>
        <w:autoSpaceDE/>
        <w:autoSpaceDN/>
        <w:bidi w:val="0"/>
        <w:spacing w:beforeAutospacing="0" w:afterAutospacing="0" w:line="440" w:lineRule="exact"/>
        <w:ind w:firstLine="48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shd w:val="clear" w:color="auto" w:fill="FFFFFF"/>
          <w:lang w:eastAsia="zh-CN"/>
        </w:rPr>
        <w:t>6.</w:t>
      </w:r>
      <w:r>
        <w:rPr>
          <w:rFonts w:hint="eastAsia" w:ascii="方正仿宋_GB2312" w:hAnsi="方正仿宋_GB2312" w:eastAsia="方正仿宋_GB2312" w:cs="方正仿宋_GB2312"/>
          <w:sz w:val="28"/>
          <w:szCs w:val="28"/>
          <w:shd w:val="clear" w:color="auto" w:fill="FFFFFF"/>
        </w:rPr>
        <w:t>供应商的报价应包括本次服务所涉及的有关项目的所有费用，包括但不限于：人员工资、税金、保险、调试、验收、指导、检测、升级、维护、专家验收等与之相关的一切费用。</w:t>
      </w:r>
    </w:p>
    <w:p w14:paraId="4925CDAE">
      <w:pPr>
        <w:pStyle w:val="6"/>
        <w:pageBreakBefore w:val="0"/>
        <w:widowControl/>
        <w:numPr>
          <w:ilvl w:val="0"/>
          <w:numId w:val="2"/>
        </w:numPr>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 xml:space="preserve">  </w:t>
      </w:r>
      <w:r>
        <w:rPr>
          <w:rFonts w:hint="eastAsia" w:ascii="方正仿宋_GB2312" w:hAnsi="方正仿宋_GB2312" w:eastAsia="方正仿宋_GB2312" w:cs="方正仿宋_GB2312"/>
          <w:b w:val="0"/>
          <w:bCs/>
          <w:kern w:val="2"/>
          <w:sz w:val="28"/>
          <w:szCs w:val="28"/>
        </w:rPr>
        <w:t xml:space="preserve"> </w:t>
      </w:r>
      <w:r>
        <w:rPr>
          <w:rFonts w:hint="eastAsia" w:ascii="方正仿宋_GB2312" w:hAnsi="方正仿宋_GB2312" w:eastAsia="方正仿宋_GB2312" w:cs="方正仿宋_GB2312"/>
          <w:b/>
          <w:bCs/>
          <w:sz w:val="28"/>
          <w:szCs w:val="28"/>
        </w:rPr>
        <w:t>技术要求</w:t>
      </w:r>
    </w:p>
    <w:p w14:paraId="0C77BFD7">
      <w:pPr>
        <w:pStyle w:val="5"/>
        <w:pageBreakBefore w:val="0"/>
        <w:numPr>
          <w:ilvl w:val="0"/>
          <w:numId w:val="0"/>
        </w:numPr>
        <w:kinsoku/>
        <w:wordWrap/>
        <w:overflowPunct/>
        <w:topLinePunct w:val="0"/>
        <w:autoSpaceDE/>
        <w:autoSpaceDN/>
        <w:bidi w:val="0"/>
        <w:spacing w:before="0" w:after="0" w:line="440" w:lineRule="exact"/>
        <w:jc w:val="both"/>
        <w:textAlignment w:val="auto"/>
        <w:rPr>
          <w:rFonts w:hint="eastAsia" w:ascii="方正仿宋_GB2312" w:hAnsi="方正仿宋_GB2312" w:eastAsia="方正仿宋_GB2312" w:cs="方正仿宋_GB2312"/>
          <w:sz w:val="28"/>
          <w:szCs w:val="28"/>
        </w:rPr>
      </w:pPr>
      <w:bookmarkStart w:id="0" w:name="_Toc149208393"/>
      <w:r>
        <w:rPr>
          <w:rFonts w:hint="eastAsia" w:ascii="方正仿宋_GB2312" w:hAnsi="方正仿宋_GB2312" w:eastAsia="方正仿宋_GB2312" w:cs="方正仿宋_GB2312"/>
          <w:sz w:val="28"/>
          <w:szCs w:val="28"/>
        </w:rPr>
        <w:t>（一）测评服务需求</w:t>
      </w:r>
    </w:p>
    <w:p w14:paraId="24C31A34">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b/>
          <w:bCs/>
          <w:color w:val="000000"/>
          <w:kern w:val="2"/>
          <w:sz w:val="28"/>
          <w:szCs w:val="28"/>
        </w:rPr>
      </w:pPr>
      <w:r>
        <w:rPr>
          <w:rFonts w:hint="eastAsia" w:ascii="方正仿宋_GB2312" w:hAnsi="方正仿宋_GB2312" w:eastAsia="方正仿宋_GB2312" w:cs="方正仿宋_GB2312"/>
          <w:color w:val="000000"/>
          <w:kern w:val="2"/>
          <w:sz w:val="28"/>
          <w:szCs w:val="28"/>
        </w:rPr>
        <w:t>★</w:t>
      </w:r>
      <w:r>
        <w:rPr>
          <w:rFonts w:hint="eastAsia" w:ascii="方正仿宋_GB2312" w:hAnsi="方正仿宋_GB2312" w:eastAsia="方正仿宋_GB2312" w:cs="方正仿宋_GB2312"/>
          <w:b/>
          <w:bCs/>
          <w:color w:val="000000"/>
          <w:kern w:val="2"/>
          <w:sz w:val="28"/>
          <w:szCs w:val="28"/>
        </w:rPr>
        <w:t>1）测评要求</w:t>
      </w:r>
    </w:p>
    <w:p w14:paraId="25856C6A">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1.1成交供应商应在对采购人系统详细了解的基础上，在项目履行过程中应编制针对性的等级保护测评整体实施方案，包括项目概述</w:t>
      </w:r>
      <w:r>
        <w:rPr>
          <w:rFonts w:hint="eastAsia" w:ascii="方正仿宋_GB2312" w:hAnsi="方正仿宋_GB2312" w:eastAsia="方正仿宋_GB2312" w:cs="方正仿宋_GB2312"/>
          <w:color w:val="000000"/>
          <w:kern w:val="2"/>
          <w:sz w:val="28"/>
          <w:szCs w:val="28"/>
          <w:lang w:eastAsia="zh-CN"/>
        </w:rPr>
        <w:t>等</w:t>
      </w:r>
      <w:r>
        <w:rPr>
          <w:rFonts w:hint="eastAsia" w:ascii="方正仿宋_GB2312" w:hAnsi="方正仿宋_GB2312" w:eastAsia="方正仿宋_GB2312" w:cs="方正仿宋_GB2312"/>
          <w:color w:val="000000"/>
          <w:kern w:val="2"/>
          <w:sz w:val="28"/>
          <w:szCs w:val="28"/>
        </w:rPr>
        <w:t>保测评范围和内容、项目实施流程、测试过程中需使用测试设备清单、时间安排、阶段性文档提交和验收标准等。</w:t>
      </w:r>
    </w:p>
    <w:p w14:paraId="3FA8FAE0">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1.2对于在测评过程中采用的测评方法、测评所使用的工具、测评所覆盖的各方面，需要符合信息安全等级保护主管部门要求，包括但不限于网络隐患检测工具、数据库漏洞检测工具、应用安全检测工具、网站安全检测工具等。</w:t>
      </w:r>
    </w:p>
    <w:p w14:paraId="3C46ADDB">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1.3本次测评项目包含采购人现有的安全产品，供应商承诺提供采购人已有安全设备的系统集成、策略设置、制度建设、测评资料整理，费用包含于项目报价中。</w:t>
      </w:r>
    </w:p>
    <w:p w14:paraId="39A0298F">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1.4项目完成后必须提交完整的技术过程文档、测评报告等。</w:t>
      </w:r>
    </w:p>
    <w:p w14:paraId="21410E5D">
      <w:pPr>
        <w:pageBreakBefore w:val="0"/>
        <w:kinsoku/>
        <w:wordWrap/>
        <w:overflowPunct/>
        <w:topLinePunct w:val="0"/>
        <w:autoSpaceDE/>
        <w:autoSpaceDN/>
        <w:bidi w:val="0"/>
        <w:spacing w:line="44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1.5中标人承诺合同签订后</w:t>
      </w:r>
      <w:r>
        <w:rPr>
          <w:rFonts w:hint="eastAsia" w:ascii="方正仿宋_GB2312" w:hAnsi="方正仿宋_GB2312" w:eastAsia="方正仿宋_GB2312" w:cs="方正仿宋_GB2312"/>
          <w:color w:val="000000"/>
          <w:sz w:val="28"/>
          <w:szCs w:val="28"/>
          <w:lang w:val="en-US" w:eastAsia="zh-CN"/>
        </w:rPr>
        <w:t>3</w:t>
      </w:r>
      <w:r>
        <w:rPr>
          <w:rFonts w:hint="eastAsia" w:ascii="方正仿宋_GB2312" w:hAnsi="方正仿宋_GB2312" w:eastAsia="方正仿宋_GB2312" w:cs="方正仿宋_GB2312"/>
          <w:color w:val="000000"/>
          <w:sz w:val="28"/>
          <w:szCs w:val="28"/>
        </w:rPr>
        <w:t>0个日历日内获得本年度等级保护测评报告。【供应商须在响应文</w:t>
      </w:r>
      <w:r>
        <w:rPr>
          <w:rFonts w:hint="eastAsia" w:ascii="方正仿宋_GB2312" w:hAnsi="方正仿宋_GB2312" w:eastAsia="方正仿宋_GB2312" w:cs="方正仿宋_GB2312"/>
          <w:color w:val="000000"/>
          <w:sz w:val="28"/>
          <w:szCs w:val="28"/>
          <w:lang w:eastAsia="zh-CN"/>
        </w:rPr>
        <w:t>件中</w:t>
      </w:r>
      <w:r>
        <w:rPr>
          <w:rFonts w:hint="eastAsia" w:ascii="方正仿宋_GB2312" w:hAnsi="方正仿宋_GB2312" w:eastAsia="方正仿宋_GB2312" w:cs="方正仿宋_GB2312"/>
          <w:color w:val="000000"/>
          <w:sz w:val="28"/>
          <w:szCs w:val="28"/>
        </w:rPr>
        <w:t>提供满足上述要求的承诺函，若仅在</w:t>
      </w:r>
      <w:r>
        <w:rPr>
          <w:rFonts w:hint="eastAsia" w:ascii="方正仿宋_GB2312" w:hAnsi="方正仿宋_GB2312" w:eastAsia="方正仿宋_GB2312" w:cs="方正仿宋_GB2312"/>
          <w:sz w:val="28"/>
          <w:szCs w:val="28"/>
        </w:rPr>
        <w:t>技术和服务要求响应表</w:t>
      </w:r>
      <w:r>
        <w:rPr>
          <w:rFonts w:hint="eastAsia" w:ascii="方正仿宋_GB2312" w:hAnsi="方正仿宋_GB2312" w:eastAsia="方正仿宋_GB2312" w:cs="方正仿宋_GB2312"/>
          <w:color w:val="000000"/>
          <w:sz w:val="28"/>
          <w:szCs w:val="28"/>
        </w:rPr>
        <w:t>中响应，视为未提供承诺。（格式自拟）</w:t>
      </w:r>
      <w:r>
        <w:rPr>
          <w:rFonts w:hint="eastAsia" w:ascii="方正仿宋_GB2312" w:hAnsi="方正仿宋_GB2312" w:eastAsia="方正仿宋_GB2312" w:cs="方正仿宋_GB2312"/>
          <w:color w:val="000000"/>
          <w:sz w:val="28"/>
          <w:szCs w:val="28"/>
          <w:lang w:eastAsia="zh-CN"/>
        </w:rPr>
        <w:t>】</w:t>
      </w:r>
    </w:p>
    <w:p w14:paraId="398B2988">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p>
    <w:p w14:paraId="17F88F67">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b/>
          <w:bCs/>
          <w:color w:val="000000"/>
          <w:kern w:val="2"/>
          <w:sz w:val="28"/>
          <w:szCs w:val="28"/>
        </w:rPr>
      </w:pPr>
      <w:r>
        <w:rPr>
          <w:rFonts w:hint="eastAsia" w:ascii="方正仿宋_GB2312" w:hAnsi="方正仿宋_GB2312" w:eastAsia="方正仿宋_GB2312" w:cs="方正仿宋_GB2312"/>
          <w:b/>
          <w:bCs/>
          <w:color w:val="000000"/>
          <w:kern w:val="2"/>
          <w:sz w:val="28"/>
          <w:szCs w:val="28"/>
        </w:rPr>
        <w:t>2）项目实施要求</w:t>
      </w:r>
    </w:p>
    <w:p w14:paraId="7369A963">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2.1供应商应保证响应项目在采购人条件成熟时应立即开展实施；</w:t>
      </w:r>
    </w:p>
    <w:p w14:paraId="1C4036B7">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2.2供应商在项目实施过程中应配合采购人的统一领导和协调，协助采</w:t>
      </w:r>
      <w:r>
        <w:rPr>
          <w:rFonts w:hint="eastAsia" w:ascii="方正仿宋_GB2312" w:hAnsi="方正仿宋_GB2312" w:eastAsia="方正仿宋_GB2312" w:cs="方正仿宋_GB2312"/>
          <w:color w:val="000000"/>
          <w:kern w:val="2"/>
          <w:sz w:val="28"/>
          <w:szCs w:val="28"/>
          <w:lang w:eastAsia="zh-CN"/>
        </w:rPr>
        <w:t>购人</w:t>
      </w:r>
      <w:r>
        <w:rPr>
          <w:rFonts w:hint="eastAsia" w:ascii="方正仿宋_GB2312" w:hAnsi="方正仿宋_GB2312" w:eastAsia="方正仿宋_GB2312" w:cs="方正仿宋_GB2312"/>
          <w:color w:val="000000"/>
          <w:kern w:val="2"/>
          <w:sz w:val="28"/>
          <w:szCs w:val="28"/>
        </w:rPr>
        <w:t>解决测评过程中可能发生的问题；</w:t>
      </w:r>
    </w:p>
    <w:p w14:paraId="73028E9F">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2.3供应商应根据采购人工作需求、进度要求、实际情况制定详细的项目实施管理规范和项目实施计划，对工程目标、阶段性工作、项目组织机构、职责分工、项目进度、质量控制等内容进行详细的说明，以确保工程实施按时保质</w:t>
      </w:r>
      <w:r>
        <w:rPr>
          <w:rFonts w:hint="eastAsia" w:ascii="方正仿宋_GB2312" w:hAnsi="方正仿宋_GB2312" w:eastAsia="方正仿宋_GB2312" w:cs="方正仿宋_GB2312"/>
          <w:color w:val="000000"/>
          <w:kern w:val="2"/>
          <w:sz w:val="28"/>
          <w:szCs w:val="28"/>
          <w:lang w:eastAsia="zh-CN"/>
        </w:rPr>
        <w:t>地</w:t>
      </w:r>
      <w:r>
        <w:rPr>
          <w:rFonts w:hint="eastAsia" w:ascii="方正仿宋_GB2312" w:hAnsi="方正仿宋_GB2312" w:eastAsia="方正仿宋_GB2312" w:cs="方正仿宋_GB2312"/>
          <w:color w:val="000000"/>
          <w:kern w:val="2"/>
          <w:sz w:val="28"/>
          <w:szCs w:val="28"/>
        </w:rPr>
        <w:t>完成；</w:t>
      </w:r>
      <w:r>
        <w:rPr>
          <w:rFonts w:hint="eastAsia" w:ascii="方正仿宋_GB2312" w:hAnsi="方正仿宋_GB2312" w:eastAsia="方正仿宋_GB2312" w:cs="方正仿宋_GB2312"/>
          <w:color w:val="000000"/>
          <w:kern w:val="2"/>
          <w:sz w:val="28"/>
          <w:szCs w:val="28"/>
        </w:rPr>
        <w:br w:type="textWrapping"/>
      </w:r>
      <w:r>
        <w:rPr>
          <w:rFonts w:hint="eastAsia" w:ascii="方正仿宋_GB2312" w:hAnsi="方正仿宋_GB2312" w:eastAsia="方正仿宋_GB2312" w:cs="方正仿宋_GB2312"/>
          <w:color w:val="000000"/>
          <w:kern w:val="2"/>
          <w:sz w:val="28"/>
          <w:szCs w:val="28"/>
        </w:rPr>
        <w:t>★2.4供应商所合作的测评机构近五年内未受到相关监管部门违规处罚、通报暂停、勒令整改、撤销服务证书等情况，</w:t>
      </w:r>
    </w:p>
    <w:p w14:paraId="77CB92E7">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2.5供应商所合作的测评机构为本项目投入的服务团队，需配备1名高级测评师作为技术总负责人，1名中级测评师担任质量监督员，1名中级测评师负责技术类测评；2名初级测评师分别负责信息安全制度及管理类测评要求工作</w:t>
      </w:r>
      <w:r>
        <w:rPr>
          <w:rFonts w:hint="eastAsia" w:ascii="方正仿宋_GB2312" w:hAnsi="方正仿宋_GB2312" w:eastAsia="方正仿宋_GB2312" w:cs="方正仿宋_GB2312"/>
          <w:b w:val="0"/>
          <w:bCs w:val="0"/>
          <w:color w:val="000000"/>
          <w:kern w:val="2"/>
          <w:sz w:val="28"/>
          <w:szCs w:val="28"/>
        </w:rPr>
        <w:t>。</w:t>
      </w:r>
      <w:r>
        <w:rPr>
          <w:rFonts w:hint="eastAsia" w:ascii="方正仿宋_GB2312" w:hAnsi="方正仿宋_GB2312" w:eastAsia="方正仿宋_GB2312" w:cs="方正仿宋_GB2312"/>
          <w:color w:val="000000"/>
          <w:kern w:val="2"/>
          <w:sz w:val="28"/>
          <w:szCs w:val="28"/>
        </w:rPr>
        <w:t>供应商应在响应文件中提供人员配置表，列明人员姓名、职责及资质情况。配置有经验的测评人员进行本次等级保护测评工作。</w:t>
      </w:r>
    </w:p>
    <w:p w14:paraId="6260E58D">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b w:val="0"/>
          <w:bCs w:val="0"/>
          <w:color w:val="000000"/>
          <w:kern w:val="2"/>
          <w:sz w:val="28"/>
          <w:szCs w:val="28"/>
        </w:rPr>
      </w:pPr>
      <w:r>
        <w:rPr>
          <w:rFonts w:hint="eastAsia" w:ascii="方正仿宋_GB2312" w:hAnsi="方正仿宋_GB2312" w:eastAsia="方正仿宋_GB2312" w:cs="方正仿宋_GB2312"/>
          <w:b w:val="0"/>
          <w:bCs w:val="0"/>
          <w:color w:val="000000"/>
          <w:kern w:val="2"/>
          <w:sz w:val="28"/>
          <w:szCs w:val="28"/>
        </w:rPr>
        <w:t>3）保密要求</w:t>
      </w:r>
    </w:p>
    <w:p w14:paraId="285CD67A">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3.1供应商必须和采购人签订保密协议和非侵害性协议，</w:t>
      </w:r>
      <w:r>
        <w:rPr>
          <w:rFonts w:hint="eastAsia" w:ascii="方正仿宋_GB2312" w:hAnsi="方正仿宋_GB2312" w:eastAsia="方正仿宋_GB2312" w:cs="方正仿宋_GB2312"/>
          <w:color w:val="000000"/>
          <w:kern w:val="2"/>
          <w:sz w:val="28"/>
          <w:szCs w:val="28"/>
          <w:lang w:eastAsia="zh-CN"/>
        </w:rPr>
        <w:t>必须</w:t>
      </w:r>
      <w:r>
        <w:rPr>
          <w:rFonts w:hint="eastAsia" w:ascii="方正仿宋_GB2312" w:hAnsi="方正仿宋_GB2312" w:eastAsia="方正仿宋_GB2312" w:cs="方正仿宋_GB2312"/>
          <w:color w:val="000000"/>
          <w:kern w:val="2"/>
          <w:sz w:val="28"/>
          <w:szCs w:val="28"/>
        </w:rPr>
        <w:t>与参加此次测评项目的所有项目组成员签订保密协议和非侵害性协议，在合同签订时一并提供给采购人。</w:t>
      </w:r>
    </w:p>
    <w:p w14:paraId="2B518E6F">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3.2供应商对本采购文件中的内容及在响应过程中接触的设备信息、数据资料等负有保密责任，不得泄露给任何第三方；无论供应商成交与否，其对上述内容的保密责任将长期存在。</w:t>
      </w:r>
    </w:p>
    <w:p w14:paraId="7615D894">
      <w:pPr>
        <w:pageBreakBefore w:val="0"/>
        <w:widowControl/>
        <w:kinsoku/>
        <w:wordWrap/>
        <w:overflowPunct/>
        <w:topLinePunct w:val="0"/>
        <w:autoSpaceDE/>
        <w:autoSpaceDN/>
        <w:bidi w:val="0"/>
        <w:spacing w:line="440" w:lineRule="exact"/>
        <w:ind w:firstLine="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▲3.3供应商在等保测评服务中所采用的服务工具支持对服务报告的提交、查看进行权限控制，防止泄密。（须提供功能截图并提供文档安全管理系统类国家著作权证书复印件）</w:t>
      </w:r>
    </w:p>
    <w:p w14:paraId="6367557A">
      <w:pPr>
        <w:pStyle w:val="5"/>
        <w:pageBreakBefore w:val="0"/>
        <w:numPr>
          <w:ilvl w:val="0"/>
          <w:numId w:val="0"/>
        </w:numPr>
        <w:kinsoku/>
        <w:wordWrap/>
        <w:overflowPunct/>
        <w:topLinePunct w:val="0"/>
        <w:autoSpaceDE/>
        <w:autoSpaceDN/>
        <w:bidi w:val="0"/>
        <w:spacing w:before="0" w:after="0" w:line="440" w:lineRule="exact"/>
        <w:jc w:val="both"/>
        <w:textAlignment w:val="auto"/>
        <w:rPr>
          <w:rFonts w:hint="eastAsia" w:ascii="方正仿宋_GB2312" w:hAnsi="方正仿宋_GB2312" w:eastAsia="方正仿宋_GB2312" w:cs="方正仿宋_GB2312"/>
          <w:sz w:val="28"/>
          <w:szCs w:val="28"/>
        </w:rPr>
      </w:pPr>
      <w:bookmarkStart w:id="1" w:name="_Toc27891"/>
      <w:r>
        <w:rPr>
          <w:rFonts w:hint="eastAsia" w:ascii="方正仿宋_GB2312" w:hAnsi="方正仿宋_GB2312" w:eastAsia="方正仿宋_GB2312" w:cs="方正仿宋_GB2312"/>
          <w:sz w:val="28"/>
          <w:szCs w:val="28"/>
        </w:rPr>
        <w:t>（二）技术服务需求</w:t>
      </w:r>
      <w:bookmarkEnd w:id="1"/>
    </w:p>
    <w:p w14:paraId="699696C6">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2.1</w:t>
      </w:r>
      <w:bookmarkEnd w:id="0"/>
      <w:r>
        <w:rPr>
          <w:rFonts w:hint="eastAsia" w:ascii="方正仿宋_GB2312" w:hAnsi="方正仿宋_GB2312" w:eastAsia="方正仿宋_GB2312" w:cs="方正仿宋_GB2312"/>
          <w:b/>
          <w:bCs/>
          <w:sz w:val="28"/>
          <w:szCs w:val="28"/>
        </w:rPr>
        <w:t>信息系统安全等级保护测评服务</w:t>
      </w:r>
    </w:p>
    <w:p w14:paraId="47C7AE7C">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bookmarkStart w:id="2" w:name="_Toc149208394"/>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sz w:val="28"/>
          <w:szCs w:val="28"/>
        </w:rPr>
        <w:t>根据网络安全法及国家等级保护相关标准，对需要进行测评的应用系统进行等级测评工作，出具符合公安部门要求的测评报告。</w:t>
      </w:r>
    </w:p>
    <w:p w14:paraId="084DF836">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2.1.2国家标准</w:t>
      </w:r>
    </w:p>
    <w:p w14:paraId="430021C8">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依据国家等级保护相关标准开展工作，依据标准包括但不限于如下国家标准：</w:t>
      </w:r>
    </w:p>
    <w:p w14:paraId="6738565B">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GB/T 22239-2019《信息安全技术 网络安全等级保护基本要求》</w:t>
      </w:r>
    </w:p>
    <w:p w14:paraId="54D27917">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GB/T 22240-2020 《信息安全技术 网络安全等级保护定级指南》</w:t>
      </w:r>
    </w:p>
    <w:p w14:paraId="2F1D46E1">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GB/T 25058-2019《信息安全技术 网络安全等级保护实施指南》</w:t>
      </w:r>
    </w:p>
    <w:p w14:paraId="0ECA201A">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GB/T 28448-2019《信息安全技术 网络安全等级保护测评要求》</w:t>
      </w:r>
    </w:p>
    <w:p w14:paraId="430E3CC3">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GB/T 28449-2018《信息安全技术 网络安全等级保护测评过程指南》</w:t>
      </w:r>
    </w:p>
    <w:p w14:paraId="5C8D02B7">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2.1.3技术要求</w:t>
      </w:r>
    </w:p>
    <w:p w14:paraId="0AEAB4B6">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根据国家等级保护相关标准，测评人员服务范围内的系统安全等级保护测评的内容包括但不限于以下内容：</w:t>
      </w:r>
    </w:p>
    <w:p w14:paraId="04B1C445">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（1）</w:t>
      </w:r>
      <w:r>
        <w:rPr>
          <w:rFonts w:hint="eastAsia" w:ascii="方正仿宋_GB2312" w:hAnsi="方正仿宋_GB2312" w:eastAsia="方正仿宋_GB2312" w:cs="方正仿宋_GB2312"/>
          <w:color w:val="000000"/>
          <w:sz w:val="28"/>
          <w:szCs w:val="28"/>
        </w:rPr>
        <w:t> 安全技术方面</w:t>
      </w:r>
    </w:p>
    <w:p w14:paraId="514CD0ED">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1）</w:t>
      </w:r>
      <w:r>
        <w:rPr>
          <w:rFonts w:hint="eastAsia" w:ascii="方正仿宋_GB2312" w:hAnsi="方正仿宋_GB2312" w:eastAsia="方正仿宋_GB2312" w:cs="方正仿宋_GB2312"/>
          <w:color w:val="000000"/>
          <w:sz w:val="28"/>
          <w:szCs w:val="28"/>
        </w:rPr>
        <w:tab/>
      </w:r>
      <w:r>
        <w:rPr>
          <w:rFonts w:hint="eastAsia" w:ascii="方正仿宋_GB2312" w:hAnsi="方正仿宋_GB2312" w:eastAsia="方正仿宋_GB2312" w:cs="方正仿宋_GB2312"/>
          <w:color w:val="000000"/>
          <w:sz w:val="28"/>
          <w:szCs w:val="28"/>
        </w:rPr>
        <w:t>安全物理环境： 包括物理位置的选择、物理访问控制、防盗窃和防破坏、防雷击、防火、防水和防潮、防静电、温湿度控制、电力供应、电磁防护等方面。</w:t>
      </w:r>
    </w:p>
    <w:p w14:paraId="4B903402">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2）</w:t>
      </w:r>
      <w:r>
        <w:rPr>
          <w:rFonts w:hint="eastAsia" w:ascii="方正仿宋_GB2312" w:hAnsi="方正仿宋_GB2312" w:eastAsia="方正仿宋_GB2312" w:cs="方正仿宋_GB2312"/>
          <w:color w:val="000000"/>
          <w:sz w:val="28"/>
          <w:szCs w:val="28"/>
        </w:rPr>
        <w:tab/>
      </w:r>
      <w:r>
        <w:rPr>
          <w:rFonts w:hint="eastAsia" w:ascii="方正仿宋_GB2312" w:hAnsi="方正仿宋_GB2312" w:eastAsia="方正仿宋_GB2312" w:cs="方正仿宋_GB2312"/>
          <w:color w:val="000000"/>
          <w:sz w:val="28"/>
          <w:szCs w:val="28"/>
        </w:rPr>
        <w:t>安全通信网络：包括网络架构、通信传输、可信验证等方面。</w:t>
      </w:r>
    </w:p>
    <w:p w14:paraId="4032577F">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3）</w:t>
      </w:r>
      <w:r>
        <w:rPr>
          <w:rFonts w:hint="eastAsia" w:ascii="方正仿宋_GB2312" w:hAnsi="方正仿宋_GB2312" w:eastAsia="方正仿宋_GB2312" w:cs="方正仿宋_GB2312"/>
          <w:color w:val="000000"/>
          <w:sz w:val="28"/>
          <w:szCs w:val="28"/>
        </w:rPr>
        <w:tab/>
      </w:r>
      <w:r>
        <w:rPr>
          <w:rFonts w:hint="eastAsia" w:ascii="方正仿宋_GB2312" w:hAnsi="方正仿宋_GB2312" w:eastAsia="方正仿宋_GB2312" w:cs="方正仿宋_GB2312"/>
          <w:color w:val="000000"/>
          <w:sz w:val="28"/>
          <w:szCs w:val="28"/>
        </w:rPr>
        <w:t>安全区域边界：包括边界防护、访问控制、入侵防范、恶意代码和垃圾邮件防范、安全审计、可信验证等方面。</w:t>
      </w:r>
    </w:p>
    <w:p w14:paraId="271B41FD">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4）</w:t>
      </w:r>
      <w:r>
        <w:rPr>
          <w:rFonts w:hint="eastAsia" w:ascii="方正仿宋_GB2312" w:hAnsi="方正仿宋_GB2312" w:eastAsia="方正仿宋_GB2312" w:cs="方正仿宋_GB2312"/>
          <w:color w:val="000000"/>
          <w:sz w:val="28"/>
          <w:szCs w:val="28"/>
        </w:rPr>
        <w:tab/>
      </w:r>
      <w:r>
        <w:rPr>
          <w:rFonts w:hint="eastAsia" w:ascii="方正仿宋_GB2312" w:hAnsi="方正仿宋_GB2312" w:eastAsia="方正仿宋_GB2312" w:cs="方正仿宋_GB2312"/>
          <w:color w:val="000000"/>
          <w:sz w:val="28"/>
          <w:szCs w:val="28"/>
        </w:rPr>
        <w:t>安全计算环境：包括身份鉴别、访问控制、安全审计、入侵防范、恶意代码防范、可信验证、数据完整性、数据保密性、数据备份恢复、剩余信息保护、个人信息保护等方面。</w:t>
      </w:r>
    </w:p>
    <w:p w14:paraId="7B6D44DA">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5）</w:t>
      </w:r>
      <w:r>
        <w:rPr>
          <w:rFonts w:hint="eastAsia" w:ascii="方正仿宋_GB2312" w:hAnsi="方正仿宋_GB2312" w:eastAsia="方正仿宋_GB2312" w:cs="方正仿宋_GB2312"/>
          <w:color w:val="000000"/>
          <w:sz w:val="28"/>
          <w:szCs w:val="28"/>
        </w:rPr>
        <w:tab/>
      </w:r>
      <w:r>
        <w:rPr>
          <w:rFonts w:hint="eastAsia" w:ascii="方正仿宋_GB2312" w:hAnsi="方正仿宋_GB2312" w:eastAsia="方正仿宋_GB2312" w:cs="方正仿宋_GB2312"/>
          <w:color w:val="000000"/>
          <w:sz w:val="28"/>
          <w:szCs w:val="28"/>
        </w:rPr>
        <w:t>安全管理中心：包括系统管理、审计管理、安全管理、集中管控等方面。</w:t>
      </w:r>
    </w:p>
    <w:p w14:paraId="143DD9F0">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（2）</w:t>
      </w:r>
      <w:r>
        <w:rPr>
          <w:rFonts w:hint="eastAsia" w:ascii="方正仿宋_GB2312" w:hAnsi="方正仿宋_GB2312" w:eastAsia="方正仿宋_GB2312" w:cs="方正仿宋_GB2312"/>
          <w:color w:val="000000"/>
          <w:sz w:val="28"/>
          <w:szCs w:val="28"/>
        </w:rPr>
        <w:t> 安全管理方面</w:t>
      </w:r>
    </w:p>
    <w:p w14:paraId="07B6DC26">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1）</w:t>
      </w:r>
      <w:r>
        <w:rPr>
          <w:rFonts w:hint="eastAsia" w:ascii="方正仿宋_GB2312" w:hAnsi="方正仿宋_GB2312" w:eastAsia="方正仿宋_GB2312" w:cs="方正仿宋_GB2312"/>
          <w:color w:val="000000"/>
          <w:sz w:val="28"/>
          <w:szCs w:val="28"/>
        </w:rPr>
        <w:t>安全管理制度：包括信息系统的管理制度、制定和发布、评审和修订等方面。</w:t>
      </w:r>
    </w:p>
    <w:p w14:paraId="63F9AA87">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2）</w:t>
      </w:r>
      <w:r>
        <w:rPr>
          <w:rFonts w:hint="eastAsia" w:ascii="方正仿宋_GB2312" w:hAnsi="方正仿宋_GB2312" w:eastAsia="方正仿宋_GB2312" w:cs="方正仿宋_GB2312"/>
          <w:color w:val="000000"/>
          <w:sz w:val="28"/>
          <w:szCs w:val="28"/>
        </w:rPr>
        <w:t>安全管理机构：包括岗位设置、人员配备、授权和审批、沟通和合作、审核和检查等方面。</w:t>
      </w:r>
    </w:p>
    <w:p w14:paraId="00D1CC1A">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3）</w:t>
      </w:r>
      <w:r>
        <w:rPr>
          <w:rFonts w:hint="eastAsia" w:ascii="方正仿宋_GB2312" w:hAnsi="方正仿宋_GB2312" w:eastAsia="方正仿宋_GB2312" w:cs="方正仿宋_GB2312"/>
          <w:color w:val="000000"/>
          <w:sz w:val="28"/>
          <w:szCs w:val="28"/>
        </w:rPr>
        <w:t>安全人员管理：包括信息系统的人员录用、人员离岗、人员考核、安全意识教育和培训、外部人员访问管理等方面。</w:t>
      </w:r>
    </w:p>
    <w:p w14:paraId="19616E99">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4）</w:t>
      </w:r>
      <w:r>
        <w:rPr>
          <w:rFonts w:hint="eastAsia" w:ascii="方正仿宋_GB2312" w:hAnsi="方正仿宋_GB2312" w:eastAsia="方正仿宋_GB2312" w:cs="方正仿宋_GB2312"/>
          <w:color w:val="000000"/>
          <w:sz w:val="28"/>
          <w:szCs w:val="28"/>
        </w:rPr>
        <w:t>安全建设管理：包括系统定级、安全方案设计、产品采购和使用、自行软件开发、外包软件开发、工程实施、测试验收、系统交付、安全服务商选择、系统备案、等级测评等方面。</w:t>
      </w:r>
    </w:p>
    <w:p w14:paraId="01BFFB26">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5）</w:t>
      </w:r>
      <w:r>
        <w:rPr>
          <w:rFonts w:hint="eastAsia" w:ascii="方正仿宋_GB2312" w:hAnsi="方正仿宋_GB2312" w:eastAsia="方正仿宋_GB2312" w:cs="方正仿宋_GB2312"/>
          <w:color w:val="000000"/>
          <w:sz w:val="28"/>
          <w:szCs w:val="28"/>
        </w:rPr>
        <w:t>安全运维管理：包括环境管理、资产管理、介质管理、设备管理、监控管理和安全管理中心、网络安全管理、系统安全管理、恶意代码防范管理、密码管理、变更管理、备份与恢复管理、安全事件处置、应急预案管理等方面。</w:t>
      </w:r>
    </w:p>
    <w:p w14:paraId="66EA6833">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2.1.4等级保护测评要求</w:t>
      </w:r>
    </w:p>
    <w:p w14:paraId="13E7AB32">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2.1.4.1测评原则</w:t>
      </w:r>
    </w:p>
    <w:p w14:paraId="2B035340">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本次安全保护等级保护测评实施方案设计与具体实施应满足以下原则：</w:t>
      </w:r>
    </w:p>
    <w:p w14:paraId="58A9D8DB">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1）</w:t>
      </w:r>
      <w:r>
        <w:rPr>
          <w:rFonts w:hint="eastAsia" w:ascii="方正仿宋_GB2312" w:hAnsi="方正仿宋_GB2312" w:eastAsia="方正仿宋_GB2312" w:cs="方正仿宋_GB2312"/>
          <w:color w:val="000000"/>
          <w:sz w:val="28"/>
          <w:szCs w:val="28"/>
        </w:rPr>
        <w:t>保密原则：对测评的过程数据和结果数据须严格保密，未经授权不得泄露给任何单位和个人，不得利用此数据进行任何侵害业主单位的行为，否则业主单位有权追究其责任。</w:t>
      </w:r>
    </w:p>
    <w:p w14:paraId="52D9DB71">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2）</w:t>
      </w:r>
      <w:r>
        <w:rPr>
          <w:rFonts w:hint="eastAsia" w:ascii="方正仿宋_GB2312" w:hAnsi="方正仿宋_GB2312" w:eastAsia="方正仿宋_GB2312" w:cs="方正仿宋_GB2312"/>
          <w:color w:val="000000"/>
          <w:sz w:val="28"/>
          <w:szCs w:val="28"/>
        </w:rPr>
        <w:t>标准性原则：测评方案的设计与实施须依据国家等级保护的相关标准进行。</w:t>
      </w:r>
    </w:p>
    <w:p w14:paraId="6C0B4E76">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3）</w:t>
      </w:r>
      <w:r>
        <w:rPr>
          <w:rFonts w:hint="eastAsia" w:ascii="方正仿宋_GB2312" w:hAnsi="方正仿宋_GB2312" w:eastAsia="方正仿宋_GB2312" w:cs="方正仿宋_GB2312"/>
          <w:color w:val="000000"/>
          <w:sz w:val="28"/>
          <w:szCs w:val="28"/>
        </w:rPr>
        <w:t>规范性原则：评测工作中的过程和文档，须具有很好的规范性，便于业主单位对项目的跟踪和控制。</w:t>
      </w:r>
    </w:p>
    <w:p w14:paraId="2C7AE5D8">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4）</w:t>
      </w:r>
      <w:r>
        <w:rPr>
          <w:rFonts w:hint="eastAsia" w:ascii="方正仿宋_GB2312" w:hAnsi="方正仿宋_GB2312" w:eastAsia="方正仿宋_GB2312" w:cs="方正仿宋_GB2312"/>
          <w:color w:val="000000"/>
          <w:sz w:val="28"/>
          <w:szCs w:val="28"/>
        </w:rPr>
        <w:t>可控性原则：测评服务的进度要跟上进度表的安排，保证业主单位对于测评工作的可控性。</w:t>
      </w:r>
    </w:p>
    <w:p w14:paraId="2B257DC6">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5）</w:t>
      </w:r>
      <w:r>
        <w:rPr>
          <w:rFonts w:hint="eastAsia" w:ascii="方正仿宋_GB2312" w:hAnsi="方正仿宋_GB2312" w:eastAsia="方正仿宋_GB2312" w:cs="方正仿宋_GB2312"/>
          <w:color w:val="000000"/>
          <w:sz w:val="28"/>
          <w:szCs w:val="28"/>
        </w:rPr>
        <w:t>整体性原则：测评的范围和内容应当整体全面，包括国家等级保护相关要求涉及的各个层面。</w:t>
      </w:r>
    </w:p>
    <w:p w14:paraId="3E04C340">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6）</w:t>
      </w:r>
      <w:r>
        <w:rPr>
          <w:rFonts w:hint="eastAsia" w:ascii="方正仿宋_GB2312" w:hAnsi="方正仿宋_GB2312" w:eastAsia="方正仿宋_GB2312" w:cs="方正仿宋_GB2312"/>
          <w:color w:val="000000"/>
          <w:sz w:val="28"/>
          <w:szCs w:val="28"/>
        </w:rPr>
        <w:t>最小影响原则：测评工作应尽可能小</w:t>
      </w:r>
      <w:r>
        <w:rPr>
          <w:rFonts w:hint="eastAsia" w:ascii="方正仿宋_GB2312" w:hAnsi="方正仿宋_GB2312" w:eastAsia="方正仿宋_GB2312" w:cs="方正仿宋_GB2312"/>
          <w:color w:val="000000"/>
          <w:sz w:val="28"/>
          <w:szCs w:val="28"/>
          <w:lang w:eastAsia="zh-CN"/>
        </w:rPr>
        <w:t>地</w:t>
      </w:r>
      <w:r>
        <w:rPr>
          <w:rFonts w:hint="eastAsia" w:ascii="方正仿宋_GB2312" w:hAnsi="方正仿宋_GB2312" w:eastAsia="方正仿宋_GB2312" w:cs="方正仿宋_GB2312"/>
          <w:color w:val="000000"/>
          <w:sz w:val="28"/>
          <w:szCs w:val="28"/>
        </w:rPr>
        <w:t>影响系统和网络，并在可控范围内；测评工作不能对现有信息系统的正常运行、业务的正常开展产生任何影响。</w:t>
      </w:r>
    </w:p>
    <w:p w14:paraId="2C15D971">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测评机构应严格依照上述原则和国家等级保护相关标准开展项目实施工作。</w:t>
      </w:r>
    </w:p>
    <w:p w14:paraId="22F85F28">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2.1.4.2等级测试的整体要求</w:t>
      </w:r>
    </w:p>
    <w:p w14:paraId="7A4B6CF0">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1）</w:t>
      </w:r>
      <w:r>
        <w:rPr>
          <w:rFonts w:hint="eastAsia" w:ascii="方正仿宋_GB2312" w:hAnsi="方正仿宋_GB2312" w:eastAsia="方正仿宋_GB2312" w:cs="方正仿宋_GB2312"/>
          <w:color w:val="000000"/>
          <w:sz w:val="28"/>
          <w:szCs w:val="28"/>
        </w:rPr>
        <w:t>在项目现场实施周期内，供应商为本项目成立等级保护测评小组，同时安排负责本项目的项目经理和核心技术人员驻场服务。等级保护测评小组人员需由具有等保测评资质的测评机构派出，且具备《信息安全等级测评师认证》，在项目实施途中，驻场人员未经业主单位同意不得随意更换，项目小组成员不少于3人。</w:t>
      </w:r>
    </w:p>
    <w:p w14:paraId="5E7E51AF">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2）</w:t>
      </w:r>
      <w:r>
        <w:rPr>
          <w:rFonts w:hint="eastAsia" w:ascii="方正仿宋_GB2312" w:hAnsi="方正仿宋_GB2312" w:eastAsia="方正仿宋_GB2312" w:cs="方正仿宋_GB2312"/>
          <w:color w:val="000000"/>
          <w:sz w:val="28"/>
          <w:szCs w:val="28"/>
        </w:rPr>
        <w:t>等级保护测评实施过程中所</w:t>
      </w:r>
      <w:r>
        <w:rPr>
          <w:rFonts w:hint="eastAsia" w:ascii="方正仿宋_GB2312" w:hAnsi="方正仿宋_GB2312" w:eastAsia="方正仿宋_GB2312" w:cs="方正仿宋_GB2312"/>
          <w:color w:val="000000"/>
          <w:sz w:val="28"/>
          <w:szCs w:val="28"/>
          <w:lang w:eastAsia="zh-CN"/>
        </w:rPr>
        <w:t>使用</w:t>
      </w:r>
      <w:r>
        <w:rPr>
          <w:rFonts w:hint="eastAsia" w:ascii="方正仿宋_GB2312" w:hAnsi="方正仿宋_GB2312" w:eastAsia="方正仿宋_GB2312" w:cs="方正仿宋_GB2312"/>
          <w:color w:val="000000"/>
          <w:sz w:val="28"/>
          <w:szCs w:val="28"/>
        </w:rPr>
        <w:t>的各种工具软件均由供应商推荐，经业主单位确认后由供应商提供并在测评中使用。</w:t>
      </w:r>
    </w:p>
    <w:p w14:paraId="078A3BA7">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3）</w:t>
      </w:r>
      <w:r>
        <w:rPr>
          <w:rFonts w:hint="eastAsia" w:ascii="方正仿宋_GB2312" w:hAnsi="方正仿宋_GB2312" w:eastAsia="方正仿宋_GB2312" w:cs="方正仿宋_GB2312"/>
          <w:color w:val="000000"/>
          <w:sz w:val="28"/>
          <w:szCs w:val="28"/>
        </w:rPr>
        <w:t>安全测评工具软件运行需要的所有硬件平台（如笔记本电脑、PC、工作站等）和操作系统软件等均由供应商推荐，经业主单位确认后由供应商提供并在测评中使用。</w:t>
      </w:r>
    </w:p>
    <w:p w14:paraId="41B18180">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4）</w:t>
      </w:r>
      <w:r>
        <w:rPr>
          <w:rFonts w:hint="eastAsia" w:ascii="方正仿宋_GB2312" w:hAnsi="方正仿宋_GB2312" w:eastAsia="方正仿宋_GB2312" w:cs="方正仿宋_GB2312"/>
          <w:color w:val="000000"/>
          <w:sz w:val="28"/>
          <w:szCs w:val="28"/>
        </w:rPr>
        <w:t>安全测评需要的运行环境（如场地、网络环境等）由业主单位提供，供应商应根据项目需要向业主单位说明需要的运行环境的具体要求。</w:t>
      </w:r>
    </w:p>
    <w:p w14:paraId="5F357DEA">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2.1.4.3安全等级保护测评报告要求</w:t>
      </w:r>
    </w:p>
    <w:p w14:paraId="16681881">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上述系统需根据单位要求在规定时间内（根据实际需求分批次）完成等级测评，并由测评机构出具等级保护测评报告。</w:t>
      </w:r>
    </w:p>
    <w:p w14:paraId="158E78AE">
      <w:pPr>
        <w:pStyle w:val="6"/>
        <w:pageBreakBefore w:val="0"/>
        <w:kinsoku/>
        <w:wordWrap/>
        <w:overflowPunct/>
        <w:topLinePunct w:val="0"/>
        <w:autoSpaceDE/>
        <w:autoSpaceDN/>
        <w:bidi w:val="0"/>
        <w:spacing w:beforeAutospacing="0" w:afterAutospacing="0" w:line="440" w:lineRule="exact"/>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2.2网络安全咨询服务</w:t>
      </w:r>
    </w:p>
    <w:p w14:paraId="67CE79F9">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2.2.1 等保资产分析服务</w:t>
      </w:r>
    </w:p>
    <w:p w14:paraId="3683AC5F">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根据等级保护范围内的资产组成，对服务范围内各个测评对象整理的网络结构拓扑以及相关联的资产，基于等级保护综合管理系统开展安全物理环境、安全通信网络、安全区域边界、安全计算环境、安全管理中心以及安全管理制度进行调研和梳理，编制《信息系统等级保护基本情况调研表》，并通过系统实现资产管理，包含网络拓扑、机房管理、设备管理、应用管理、数据管理等。</w:t>
      </w:r>
    </w:p>
    <w:p w14:paraId="1B8F864B">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为保证服务效果，供应商在服务过程中所采用的工具能够提供与设备信息有关的网络设备、安全设备、服务器设备、其他设备各种设备的信息录入、信息编辑维护、快捷导入功能，同时支持以模板方式导入与导出设备相关信息。（须提供具有国家检验检测机构资质的机构出具的有效合格检验检测报告复印件，检测报告上须体现“CMA”或“CNAS”标志）</w:t>
      </w:r>
    </w:p>
    <w:p w14:paraId="2C9D827E">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为保证服务效果，供应商在服务过程中所采用的工具能够支持针对IP、端口进行端口扫描，可选择立即执行或定期执行；支持呈现扫描结果，包括端口、端口状态、端口服务、程序版本、操作系统、风险状态、设备类型和时间等信息，支持导出功能。（须提供具有国家检验检测机构资质的机构出具的有效合格检验检测报告复印件，检测报告上须体现“CMA”或“CNAS”标志）</w:t>
      </w:r>
    </w:p>
    <w:p w14:paraId="32BA2186">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2.2.2等保风险分析服务</w:t>
      </w:r>
    </w:p>
    <w:p w14:paraId="2881F164">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根据等级保护基本要求，开展安全物理环境、安全通信网络、安全区域边界、安全计算环境、安全管理中心的现状分析，通过安全访谈、脆弱性评估、登录检查、日志分析、等级保护综合管理系统等技术手段对现有的安全资产进行全方位的风险评估，结合信息资产属性、威胁、脆弱性等基本要素，分析信息系统安全风险评估分析，编制《等级保护安全评估与整改建议报告》。</w:t>
      </w:r>
    </w:p>
    <w:p w14:paraId="7EBDFEC8">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为保证服务效果，供应商在服务过程中所采用的工具能够支持提供三家及以上不同漏扫工具的漏扫报告导入，并支持在系统上对其进行解析，支持解析后导出系统内置的漏洞模板。（须提供具有国家检验检测机构资质的机构出具的有效合格检验检测报告复印件，检测报告上须体现“CMA”或“CNAS”标志）</w:t>
      </w:r>
    </w:p>
    <w:p w14:paraId="6E25A809">
      <w:pPr>
        <w:pStyle w:val="6"/>
        <w:pageBreakBefore w:val="0"/>
        <w:kinsoku/>
        <w:wordWrap/>
        <w:overflowPunct/>
        <w:topLinePunct w:val="0"/>
        <w:autoSpaceDE/>
        <w:autoSpaceDN/>
        <w:bidi w:val="0"/>
        <w:spacing w:beforeAutospacing="0" w:afterAutospacing="0" w:line="440" w:lineRule="exact"/>
        <w:ind w:firstLine="420"/>
        <w:textAlignment w:val="auto"/>
        <w:rPr>
          <w:rFonts w:hint="eastAsia" w:ascii="方正仿宋_GB2312" w:hAnsi="方正仿宋_GB2312" w:eastAsia="方正仿宋_GB2312" w:cs="方正仿宋_GB2312"/>
          <w:color w:val="000000"/>
          <w:kern w:val="2"/>
          <w:sz w:val="28"/>
          <w:szCs w:val="28"/>
        </w:rPr>
      </w:pPr>
      <w:r>
        <w:rPr>
          <w:rFonts w:hint="eastAsia" w:ascii="方正仿宋_GB2312" w:hAnsi="方正仿宋_GB2312" w:eastAsia="方正仿宋_GB2312" w:cs="方正仿宋_GB2312"/>
          <w:color w:val="000000"/>
          <w:kern w:val="2"/>
          <w:sz w:val="28"/>
          <w:szCs w:val="28"/>
        </w:rPr>
        <w:t>▲</w:t>
      </w:r>
      <w:r>
        <w:rPr>
          <w:rFonts w:hint="eastAsia" w:ascii="方正仿宋_GB2312" w:hAnsi="方正仿宋_GB2312" w:eastAsia="方正仿宋_GB2312" w:cs="方正仿宋_GB2312"/>
          <w:color w:val="000000"/>
          <w:sz w:val="28"/>
          <w:szCs w:val="28"/>
        </w:rPr>
        <w:t>为保证服务效果，供应商在服务过程中所采用的工具</w:t>
      </w:r>
      <w:r>
        <w:rPr>
          <w:rFonts w:hint="eastAsia" w:ascii="方正仿宋_GB2312" w:hAnsi="方正仿宋_GB2312" w:eastAsia="方正仿宋_GB2312" w:cs="方正仿宋_GB2312"/>
          <w:color w:val="000000"/>
          <w:kern w:val="2"/>
          <w:sz w:val="28"/>
          <w:szCs w:val="28"/>
        </w:rPr>
        <w:t>能提供安全风险分布，从全部资产、设备、软件、数据4方面进行安全风险统计分析并可视化展示。</w:t>
      </w:r>
      <w:r>
        <w:rPr>
          <w:rFonts w:hint="eastAsia" w:ascii="方正仿宋_GB2312" w:hAnsi="方正仿宋_GB2312" w:eastAsia="方正仿宋_GB2312" w:cs="方正仿宋_GB2312"/>
          <w:color w:val="000000"/>
          <w:sz w:val="28"/>
          <w:szCs w:val="28"/>
        </w:rPr>
        <w:t>（须提供具有国家检验检测机构资质的机构出具的有效合格检验检测报告复印件，检测报告上须体现“CMA”或“CNAS”标志）</w:t>
      </w:r>
    </w:p>
    <w:p w14:paraId="6E14B042">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2.2.3等保差距评估服务</w:t>
      </w:r>
    </w:p>
    <w:p w14:paraId="52EE03E1">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在安全评估和信息系统定级的基础上，根据《GB/T22239-2019信息安全技术网络安全等级保护基本要求》将测评对象对应等级的等级保护的各项基本要求与信息安全现状进行比较分析，并通过等级保护综合管理系统提供展示本单位的指标自评的总体情况、</w:t>
      </w:r>
      <w:r>
        <w:rPr>
          <w:rFonts w:hint="eastAsia" w:ascii="方正仿宋_GB2312" w:hAnsi="方正仿宋_GB2312" w:eastAsia="方正仿宋_GB2312" w:cs="方正仿宋_GB2312"/>
          <w:color w:val="000000"/>
          <w:sz w:val="28"/>
          <w:szCs w:val="28"/>
          <w:lang w:eastAsia="zh-CN"/>
        </w:rPr>
        <w:t>十大</w:t>
      </w:r>
      <w:r>
        <w:rPr>
          <w:rFonts w:hint="eastAsia" w:ascii="方正仿宋_GB2312" w:hAnsi="方正仿宋_GB2312" w:eastAsia="方正仿宋_GB2312" w:cs="方正仿宋_GB2312"/>
          <w:color w:val="000000"/>
          <w:sz w:val="28"/>
          <w:szCs w:val="28"/>
        </w:rPr>
        <w:t>层面指标符合情况、自评得分变化趋势。</w:t>
      </w:r>
    </w:p>
    <w:p w14:paraId="4709FFB9">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为保证服务效果，供应商在服务过程中所采用的工具能够提供线上评估功能，对定级对象的等级保护基本要求中具体指标项的评估功能，能够提供匹配定级对象的具体等级保护基本要求指标项。（须提供具有国家检验检测机构资质的机构出具的有效合格检验检测报告复印件，检测报告上须体现“CMA”或“CNAS”标志）</w:t>
      </w:r>
    </w:p>
    <w:p w14:paraId="592D339E">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2.2.4等保加固辅导服务</w:t>
      </w:r>
    </w:p>
    <w:p w14:paraId="12690235">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根据等级保护基本要求以及风险和差距分析结果，对服务范围内信息系统的关键资产编制安全整改实施方案，实施方案中应包括加固风险分析及风险规避说明。派遣专业工程师到现场根据安全整改实施方案实施边界防护安全策略优化辅导、服务器病毒检查与清理，提供主机安全加固建议、数据库安全加固建议以及应用安全加固建议。安全整改实施后，根据整改实施情况提交《等级保护安全加固报告》。</w:t>
      </w:r>
    </w:p>
    <w:p w14:paraId="5ADA5539">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对于需要增加投资，部署新的信息安全产品和技术的整改措施，双方根据整改方案另行</w:t>
      </w:r>
      <w:r>
        <w:rPr>
          <w:rFonts w:hint="eastAsia" w:ascii="方正仿宋_GB2312" w:hAnsi="方正仿宋_GB2312" w:eastAsia="方正仿宋_GB2312" w:cs="方正仿宋_GB2312"/>
          <w:color w:val="000000"/>
          <w:sz w:val="28"/>
          <w:szCs w:val="28"/>
          <w:lang w:eastAsia="zh-CN"/>
        </w:rPr>
        <w:t>协商</w:t>
      </w:r>
      <w:r>
        <w:rPr>
          <w:rFonts w:hint="eastAsia" w:ascii="方正仿宋_GB2312" w:hAnsi="方正仿宋_GB2312" w:eastAsia="方正仿宋_GB2312" w:cs="方正仿宋_GB2312"/>
          <w:color w:val="000000"/>
          <w:sz w:val="28"/>
          <w:szCs w:val="28"/>
        </w:rPr>
        <w:t>实施。</w:t>
      </w:r>
    </w:p>
    <w:p w14:paraId="49B31370">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▲为保证服务效果，供应商在服务过程中所采用的工具能够支持直观</w:t>
      </w:r>
      <w:r>
        <w:rPr>
          <w:rFonts w:hint="eastAsia" w:ascii="方正仿宋_GB2312" w:hAnsi="方正仿宋_GB2312" w:eastAsia="方正仿宋_GB2312" w:cs="方正仿宋_GB2312"/>
          <w:color w:val="000000"/>
          <w:sz w:val="28"/>
          <w:szCs w:val="28"/>
          <w:lang w:eastAsia="zh-CN"/>
        </w:rPr>
        <w:t>地</w:t>
      </w:r>
      <w:r>
        <w:rPr>
          <w:rFonts w:hint="eastAsia" w:ascii="方正仿宋_GB2312" w:hAnsi="方正仿宋_GB2312" w:eastAsia="方正仿宋_GB2312" w:cs="方正仿宋_GB2312"/>
          <w:color w:val="000000"/>
          <w:sz w:val="28"/>
          <w:szCs w:val="28"/>
        </w:rPr>
        <w:t>展示出本单位的综合安全运行状态</w:t>
      </w:r>
      <w:r>
        <w:rPr>
          <w:rFonts w:hint="eastAsia" w:ascii="方正仿宋_GB2312" w:hAnsi="方正仿宋_GB2312" w:eastAsia="方正仿宋_GB2312" w:cs="方正仿宋_GB2312"/>
          <w:color w:val="000000"/>
          <w:sz w:val="28"/>
          <w:szCs w:val="28"/>
          <w:lang w:eastAsia="zh-CN"/>
        </w:rPr>
        <w:t>包括</w:t>
      </w:r>
      <w:r>
        <w:rPr>
          <w:rFonts w:hint="eastAsia" w:ascii="方正仿宋_GB2312" w:hAnsi="方正仿宋_GB2312" w:eastAsia="方正仿宋_GB2312" w:cs="方正仿宋_GB2312"/>
          <w:color w:val="000000"/>
          <w:sz w:val="28"/>
          <w:szCs w:val="28"/>
        </w:rPr>
        <w:t>系统、资产、管理制度数量，并</w:t>
      </w:r>
      <w:bookmarkStart w:id="3" w:name="_GoBack"/>
      <w:bookmarkEnd w:id="3"/>
      <w:r>
        <w:rPr>
          <w:rFonts w:hint="eastAsia" w:ascii="方正仿宋_GB2312" w:hAnsi="方正仿宋_GB2312" w:eastAsia="方正仿宋_GB2312" w:cs="方正仿宋_GB2312"/>
          <w:color w:val="000000"/>
          <w:sz w:val="28"/>
          <w:szCs w:val="28"/>
          <w:lang w:eastAsia="zh-CN"/>
        </w:rPr>
        <w:t>能以</w:t>
      </w:r>
      <w:r>
        <w:rPr>
          <w:rFonts w:hint="eastAsia" w:ascii="方正仿宋_GB2312" w:hAnsi="方正仿宋_GB2312" w:eastAsia="方正仿宋_GB2312" w:cs="方正仿宋_GB2312"/>
          <w:color w:val="000000"/>
          <w:sz w:val="28"/>
          <w:szCs w:val="28"/>
        </w:rPr>
        <w:t>滚动方式展示各系统的自查得分，同时从漏洞危害级别、安全工作运行状态、等级保护合规状态、等级保护制度符合情况4方面展示等保合规状态。（须提供具有国家检验检测机构资质的机构出具的有效合格检验检测报告复印件，检测报告上须体现“CMA”或“CNAS”标志）</w:t>
      </w:r>
    </w:p>
    <w:p w14:paraId="7A321F34">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▲为保证服务效果，供应商在服务过程中所采用的工具能够</w:t>
      </w:r>
      <w:r>
        <w:rPr>
          <w:rFonts w:hint="eastAsia" w:ascii="方正仿宋_GB2312" w:hAnsi="方正仿宋_GB2312" w:eastAsia="方正仿宋_GB2312" w:cs="方正仿宋_GB2312"/>
          <w:color w:val="000000"/>
          <w:kern w:val="2"/>
          <w:sz w:val="28"/>
          <w:szCs w:val="28"/>
        </w:rPr>
        <w:t>支持弱口令扫描，可针对IP、IP 端、端口等对象，扫描监控密码、用户名密码相同、预置弱口令、自定义弱口令等规则</w:t>
      </w:r>
      <w:r>
        <w:rPr>
          <w:rFonts w:hint="eastAsia" w:ascii="方正仿宋_GB2312" w:hAnsi="方正仿宋_GB2312" w:eastAsia="方正仿宋_GB2312" w:cs="方正仿宋_GB2312"/>
          <w:color w:val="000000"/>
          <w:sz w:val="28"/>
          <w:szCs w:val="28"/>
        </w:rPr>
        <w:t>。（须提供具有国家检验检测机构资质的机构出具的有效合格检验检测报告复印件，检测报告上须体现“CMA”或“CNAS”标志）</w:t>
      </w:r>
    </w:p>
    <w:p w14:paraId="24D93C91">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2.2.5等保测评辅助服务</w:t>
      </w:r>
    </w:p>
    <w:p w14:paraId="23A87813">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协助用户准备测评材料，指导用户单位配合测评机构开展等级测评工作，组织测评整改，并保障顺利通过等保测评获得测评报告。在测评阶段通过等级保护综合管理系统实现等级测评管理，展示本单位各定级对象测评情况，包括定级对象测评状态、测评报告及测评相关文档信息；批量下载测评所需材料、填写测评结果，支持自定义编辑测评所需的各类文档，辅助等级测评工作。</w:t>
      </w:r>
    </w:p>
    <w:p w14:paraId="2ED69CC1">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▲为保证服务效果，供应商在服务过程中所采用的工具能够提供展示本单位所有系统有关的等级保护测评工作开展情况，展示系统测评相关信息，提供等保测评工作中的材料支撑，引导用户进行测评准备工作，并</w:t>
      </w:r>
      <w:r>
        <w:rPr>
          <w:rFonts w:hint="eastAsia" w:ascii="方正仿宋_GB2312" w:hAnsi="方正仿宋_GB2312" w:eastAsia="方正仿宋_GB2312" w:cs="方正仿宋_GB2312"/>
          <w:color w:val="000000"/>
          <w:sz w:val="28"/>
          <w:szCs w:val="28"/>
          <w:lang w:eastAsia="zh-CN"/>
        </w:rPr>
        <w:t>提供</w:t>
      </w:r>
      <w:r>
        <w:rPr>
          <w:rFonts w:hint="eastAsia" w:ascii="方正仿宋_GB2312" w:hAnsi="方正仿宋_GB2312" w:eastAsia="方正仿宋_GB2312" w:cs="方正仿宋_GB2312"/>
          <w:color w:val="000000"/>
          <w:sz w:val="28"/>
          <w:szCs w:val="28"/>
        </w:rPr>
        <w:t>测评工作所需关键文档材料清单，支持信息在线录入以及各类文档材料的查看、导入、导出、模板下载功能。（须提供具有国家检验检测机构资质的机构出具的有效合格检验检测报告复印件，检测报告上须体现“CMA”或“CNAS”标志）</w:t>
      </w:r>
    </w:p>
    <w:p w14:paraId="2154B330">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2.2.6等保台账管理服务</w:t>
      </w:r>
    </w:p>
    <w:p w14:paraId="4A067F4C">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通过服务工具等级保护综合管理系统提供等保台账管理服务，服务过程中提供各个定级对象等保咨询服务</w:t>
      </w:r>
      <w:r>
        <w:rPr>
          <w:rFonts w:hint="eastAsia" w:ascii="方正仿宋_GB2312" w:hAnsi="方正仿宋_GB2312" w:eastAsia="方正仿宋_GB2312" w:cs="方正仿宋_GB2312"/>
          <w:color w:val="000000"/>
          <w:sz w:val="28"/>
          <w:szCs w:val="28"/>
          <w:lang w:eastAsia="zh-CN"/>
        </w:rPr>
        <w:t>涉及</w:t>
      </w:r>
      <w:r>
        <w:rPr>
          <w:rFonts w:hint="eastAsia" w:ascii="方正仿宋_GB2312" w:hAnsi="方正仿宋_GB2312" w:eastAsia="方正仿宋_GB2312" w:cs="方正仿宋_GB2312"/>
          <w:color w:val="000000"/>
          <w:sz w:val="28"/>
          <w:szCs w:val="28"/>
        </w:rPr>
        <w:t>的各个环节产生的资料归档，支持对单个定级对象的定级、备案、自评、测评、管理制度五大维度的单独归档文件管理，并支持全部下载、按时间搜</w:t>
      </w:r>
      <w:r>
        <w:rPr>
          <w:rFonts w:hint="eastAsia" w:ascii="方正仿宋_GB2312" w:hAnsi="方正仿宋_GB2312" w:eastAsia="方正仿宋_GB2312" w:cs="方正仿宋_GB2312"/>
          <w:color w:val="000000"/>
          <w:sz w:val="28"/>
          <w:szCs w:val="28"/>
          <w:lang w:eastAsia="zh-CN"/>
        </w:rPr>
        <w:t>索和</w:t>
      </w:r>
      <w:r>
        <w:rPr>
          <w:rFonts w:hint="eastAsia" w:ascii="方正仿宋_GB2312" w:hAnsi="方正仿宋_GB2312" w:eastAsia="方正仿宋_GB2312" w:cs="方正仿宋_GB2312"/>
          <w:color w:val="000000"/>
          <w:sz w:val="28"/>
          <w:szCs w:val="28"/>
        </w:rPr>
        <w:t>按定级对象搜索等功能，服务结束后提供台账管理光盘，后续服务中可直接导入等保综合管理系统实现服务的延续。</w:t>
      </w:r>
    </w:p>
    <w:p w14:paraId="112D2E29">
      <w:pPr>
        <w:pageBreakBefore w:val="0"/>
        <w:widowControl/>
        <w:kinsoku/>
        <w:wordWrap/>
        <w:overflowPunct/>
        <w:topLinePunct w:val="0"/>
        <w:autoSpaceDE/>
        <w:autoSpaceDN/>
        <w:bidi w:val="0"/>
        <w:spacing w:line="440" w:lineRule="exact"/>
        <w:ind w:firstLine="48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为保证服务效果，供应商在服务过程中所采用的工具能够提供展示本单位所有系统有关的等级保护工作涉及的文档材料信息，提供对等保测评工作中的材料进行分类存档，并可对材料进行筛选检索。（须提供具有国家检验检测机构资质的机构出具的有效合格检验检测报告复印件，检测报告上须体现“CMA”或“CNAS”标志）</w:t>
      </w:r>
    </w:p>
    <w:bookmarkEnd w:id="2"/>
    <w:p w14:paraId="5BD1E29B"/>
    <w:sectPr>
      <w:pgSz w:w="11906" w:h="16838"/>
      <w:pgMar w:top="1871"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C329883-721D-439E-AAFA-13C55787638E}"/>
  </w:font>
  <w:font w:name="CG Times">
    <w:altName w:val="微软雅黑"/>
    <w:panose1 w:val="02020603050405020304"/>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2" w:fontKey="{ED83A222-D263-4193-9281-B8437C250E0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FF966"/>
    <w:multiLevelType w:val="singleLevel"/>
    <w:tmpl w:val="1EAFF966"/>
    <w:lvl w:ilvl="0" w:tentative="0">
      <w:start w:val="2"/>
      <w:numFmt w:val="chineseCounting"/>
      <w:suff w:val="nothing"/>
      <w:lvlText w:val="%1、"/>
      <w:lvlJc w:val="left"/>
      <w:rPr>
        <w:rFonts w:hint="eastAsia"/>
      </w:rPr>
    </w:lvl>
  </w:abstractNum>
  <w:abstractNum w:abstractNumId="1">
    <w:nsid w:val="28020941"/>
    <w:multiLevelType w:val="multilevel"/>
    <w:tmpl w:val="28020941"/>
    <w:lvl w:ilvl="0" w:tentative="0">
      <w:start w:val="1"/>
      <w:numFmt w:val="chineseCountingThousand"/>
      <w:suff w:val="nothing"/>
      <w:lvlText w:val="第%1部分"/>
      <w:lvlJc w:val="left"/>
      <w:rPr>
        <w:rFonts w:hint="eastAsia" w:ascii="黑体" w:eastAsia="黑体" w:cs="Times New Roman"/>
        <w:sz w:val="32"/>
        <w:szCs w:val="32"/>
      </w:rPr>
    </w:lvl>
    <w:lvl w:ilvl="1" w:tentative="0">
      <w:start w:val="1"/>
      <w:numFmt w:val="upperLetter"/>
      <w:pStyle w:val="5"/>
      <w:suff w:val="nothing"/>
      <w:lvlText w:val="%2"/>
      <w:lvlJc w:val="left"/>
      <w:rPr>
        <w:rFonts w:hint="default" w:ascii="CG Times" w:hAnsi="CG Times" w:cs="CG Times"/>
        <w:b/>
        <w:bCs/>
        <w:i w:val="0"/>
        <w:iCs w:val="0"/>
        <w:sz w:val="28"/>
        <w:szCs w:val="28"/>
      </w:rPr>
    </w:lvl>
    <w:lvl w:ilvl="2" w:tentative="0">
      <w:start w:val="1"/>
      <w:numFmt w:val="decimal"/>
      <w:lvlRestart w:val="0"/>
      <w:suff w:val="nothing"/>
      <w:lvlText w:val="%3"/>
      <w:lvlJc w:val="left"/>
      <w:rPr>
        <w:rFonts w:hint="eastAsia" w:ascii="宋体" w:eastAsia="宋体" w:cs="Times New Roman"/>
        <w:b/>
        <w:bCs/>
        <w:i w:val="0"/>
        <w:iCs w:val="0"/>
        <w:sz w:val="28"/>
        <w:szCs w:val="28"/>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04B38"/>
    <w:rsid w:val="069E5983"/>
    <w:rsid w:val="0EA93835"/>
    <w:rsid w:val="12104B38"/>
    <w:rsid w:val="146B2F00"/>
    <w:rsid w:val="31AA329C"/>
    <w:rsid w:val="46FA2178"/>
    <w:rsid w:val="589264F6"/>
    <w:rsid w:val="6E2C6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5">
    <w:name w:val="heading 2"/>
    <w:basedOn w:val="1"/>
    <w:next w:val="1"/>
    <w:qFormat/>
    <w:uiPriority w:val="0"/>
    <w:pPr>
      <w:keepNext/>
      <w:keepLines/>
      <w:numPr>
        <w:ilvl w:val="1"/>
        <w:numId w:val="1"/>
      </w:numPr>
      <w:spacing w:before="260" w:after="260" w:line="415" w:lineRule="auto"/>
      <w:jc w:val="center"/>
      <w:outlineLvl w:val="1"/>
    </w:pPr>
    <w:rPr>
      <w:rFonts w:ascii="CG Times" w:hAnsi="CG Times" w:cs="CG Times"/>
      <w:b/>
      <w:bCs/>
      <w:sz w:val="30"/>
      <w:szCs w:val="3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4"/>
    <w:qFormat/>
    <w:uiPriority w:val="0"/>
    <w:pPr>
      <w:spacing w:line="340" w:lineRule="exact"/>
      <w:ind w:right="-139" w:hanging="26" w:hangingChars="26"/>
    </w:pPr>
    <w:rPr>
      <w:rFonts w:ascii="华文中宋" w:hAnsi="华文中宋" w:eastAsia="华文中宋"/>
      <w:sz w:val="24"/>
      <w:szCs w:val="20"/>
    </w:rPr>
  </w:style>
  <w:style w:type="paragraph" w:customStyle="1" w:styleId="3">
    <w:name w:val="Body Text Indent1"/>
    <w:basedOn w:val="1"/>
    <w:qFormat/>
    <w:uiPriority w:val="0"/>
    <w:pPr>
      <w:ind w:left="420" w:left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4"/>
    </w:rPr>
  </w:style>
  <w:style w:type="character" w:styleId="9">
    <w:name w:val="Strong"/>
    <w:qFormat/>
    <w:uiPriority w:val="0"/>
    <w:rPr>
      <w:rFonts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411b1400-526a-4ad4-bd6a-5cc2b0a7d59f</errorID>
      <errorWord>，</errorWord>
      <group>L1_Word</group>
      <groupName>字词问题</groupName>
      <ability>L2_Typo</ability>
      <abilityName>字词错误</abilityName>
      <candidateList>
        <item>，必</item>
      </candidateList>
      <explain/>
      <paraID>6C0B4E76</paraID>
      <start>19</start>
      <end>20</end>
      <status>ignored</status>
      <modifiedWord/>
      <trackRevisions>false</trackRevisions>
    </reviewItem>
    <reviewItem>
      <errorID>50d94547-d9ba-413a-903d-a4372c75b37d</errorID>
      <errorWord>能</errorWord>
      <group>L1_Word</group>
      <groupName>字词问题</groupName>
      <ability>L2_Typo</ability>
      <abilityName>字词错误</abilityName>
      <candidateList>
        <item>能以</item>
      </candidateList>
      <explain/>
      <paraID>49B31370</paraID>
      <start>62</start>
      <end>64</end>
      <status>modified</status>
      <modifiedWord>能以</modifiedWord>
      <trackRevisions>false</trackRevisions>
    </reviewItem>
  </reviewItems>
  <config/>
</contractReview>
</file>

<file path=customXml/itemProps1.xml><?xml version="1.0" encoding="utf-8"?>
<ds:datastoreItem xmlns:ds="http://schemas.openxmlformats.org/officeDocument/2006/customXml" ds:itemID="{f8713e3b-2662-4680-96b8-3f263fa57f7c}">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5796</Words>
  <Characters>6065</Characters>
  <Lines>0</Lines>
  <Paragraphs>0</Paragraphs>
  <TotalTime>0</TotalTime>
  <ScaleCrop>false</ScaleCrop>
  <LinksUpToDate>false</LinksUpToDate>
  <CharactersWithSpaces>6092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2025-12-03T01:12:00Z</dcterms:created>
  <dc:creator>Cai</dc:creator>
  <cp:lastModifiedBy>Cai</cp:lastModifiedBy>
  <dcterms:modified xsi:type="dcterms:W3CDTF">2025-12-03T08:04:08Z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FF65D857BB4146AF9B3AC081F46F3247_11</vt:lpwstr>
  </property>
  <property fmtid="{D5CDD505-2E9C-101B-9397-08002B2CF9AE}" pid="4" name="KSOTemplateDocerSaveRecord">
    <vt:lpwstr>eyJoZGlkIjoiNDhkYzQwYmQyNGMyYjI1OTAwYTQ5ZGRkZDk2YWM0MGMiLCJ1c2VySWQiOiIzNzA4MDA5MzYifQ==</vt:lpwstr>
  </property>
</Properties>
</file>