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36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厦门翔弘实业有限公司市场调查函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我司近期需采购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生产区观礼台、人工草坪等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项目(最高限价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65万元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)，现向贵单位发函市场调查。请在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5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17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17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点前，将本市场调查函、营业执照及法人代表身份证等相关必要资质证明复印件(均需加盖公章)，密封后报送到厦门翔弘实业有限公司。</w:t>
      </w:r>
    </w:p>
    <w:p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联系人: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陈警官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联系电话: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17705965666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厦门市翔安区内厝镇官路北路1#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</w:pPr>
    </w:p>
    <w:p>
      <w:pPr>
        <w:rPr>
          <w:color w:val="auto"/>
          <w:sz w:val="28"/>
          <w:szCs w:val="28"/>
        </w:rPr>
      </w:pPr>
    </w:p>
    <w:p>
      <w:pPr>
        <w:pStyle w:val="2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  <w:bookmarkStart w:id="0" w:name="_GoBack"/>
      <w:bookmarkEnd w:id="0"/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pStyle w:val="4"/>
        <w:jc w:val="center"/>
        <w:rPr>
          <w:rFonts w:hint="eastAsia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市场调查回函</w:t>
      </w:r>
    </w:p>
    <w:p>
      <w:pPr>
        <w:pStyle w:val="4"/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pStyle w:val="4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厦门翔弘实业有限公司:</w:t>
      </w:r>
    </w:p>
    <w:p>
      <w:pPr>
        <w:pStyle w:val="4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根据厦门翔弘实业有限公司市场调查函，我方报价如下:</w:t>
      </w:r>
    </w:p>
    <w:tbl>
      <w:tblPr>
        <w:tblStyle w:val="6"/>
        <w:tblW w:w="12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55"/>
        <w:gridCol w:w="4975"/>
        <w:gridCol w:w="1081"/>
        <w:gridCol w:w="779"/>
        <w:gridCol w:w="923"/>
        <w:gridCol w:w="145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  <w:t>项目名称</w:t>
            </w:r>
          </w:p>
        </w:tc>
        <w:tc>
          <w:tcPr>
            <w:tcW w:w="4975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  <w:t>规格、品牌型号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详细技术参数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  <w:t>单位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  <w:t>数量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  <w:t>单价</w:t>
            </w: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</w:rPr>
              <w:t>金额(含税)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观礼台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包括基础开挖，基坑素土夯实，级配砂石回填至标高，混凝土垫层，钢筋混凝土地梁，砖墙，混凝土楼板，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仿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大理石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面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瓷砖铺设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包含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观礼台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斜坡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100mm厚C20混凝土垫层，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600mm*600mm*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仿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大理石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面地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铺瓷砖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），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不锈钢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304扶手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等，土方根据现场情况可能外运，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需考虑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周边路面、设施的保护措施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若有破损恢复原状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。以及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施工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时所需要的运输，吊装，装卸等措施费用。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tabs>
                <w:tab w:val="clear" w:pos="4153"/>
              </w:tabs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tabs>
                <w:tab w:val="clear" w:pos="4153"/>
              </w:tabs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人工草皮铺设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全曲丝，高度≥12mm,草纤维磅重≥5800DTEX,密度≥69000针/㎡,抗老化≥5年，含地面贴合面处理及铺设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人工草皮为两种颜色交互铺设。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2350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不锈钢线性水沟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宽度320mm，深度不低于300mm，304不锈钢2.2mm厚整体成型线性水沟，盖板50mm高度，工程款树脂瓦沟槽，报价含水沟开挖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及外运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，水泥砂浆找平，安装等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PVC排水管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直径110mm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，报价含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材料、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相关配件及安装费用。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钢化玻璃幕墙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包括安装8mm+8mm厚夹胶超白玻玻璃幕墙，1.2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厚50*100mm黑钛304边框,安装玻璃幕墙需安全、牢固、美观，根据现场可能增加加强加固安全措施。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电动玻璃门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长8000mm*高4200mm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门扇为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6mm+6mm厚夹胶超白玻玻璃，1.2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厚50*100mm黑钛304边框，双开门自动门平移机组（微波感应器，高强度铝合金轨道，直流无刷电机，门扇重量：≥280kg*2，门扇宽度：DW=560~1250mm，电源电压：AC110v-220v±10%，电流数：50/60Hz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开门速度：150~750mm/s,关门速度：150~750mm/s，开放时间：0~20s，安装方式：表面安装，运行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噪声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：≤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60dB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工作温度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-40+50C°，传动要件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：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齿形皮带S8M，马达：DC24V直流无刷马达，消耗电量：100W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。需配备静音变频电源控制器。铝合金轨道加厚加强。电动门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具备防夹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遇阻弹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开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功能，电动门需安全、牢固、美观，根据现场可能增加加强加固安全措施。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现代中式风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屋檐造型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包括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铝板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屋瓦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厚度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≥2.5mm，40*40镀锌管骨架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厚度2mm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，焊点打磨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并喷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防锈漆，安全构件加固，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加固件钢板防锈处理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，安全构件加固，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结构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胶收口，压边条收口等。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bidi w:val="0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255" w:type="dxa"/>
            <w:vAlign w:val="center"/>
          </w:tcPr>
          <w:p>
            <w:pPr>
              <w:bidi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中式仿古门套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门洞为3900mm*3000mm，门套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不锈钢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304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材质，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门套面板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宽度不小于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0mm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，厚度不小于1.2mm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吊顶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铝方通加石膏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板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吊顶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仿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大理石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面地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铺瓷砖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包括原混凝土地面拆除，600mm*600mm*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仿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大理石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面地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铺瓷砖</w:t>
            </w:r>
          </w:p>
        </w:tc>
        <w:tc>
          <w:tcPr>
            <w:tcW w:w="1081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㎡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376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灯具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方通灯长条灯，LED光源不小于85W，≥4000K，具备3C认证，参考尺寸118*28cm*4cm，外壳工艺高温烤漆抛光，报价含灯具、灯具布置，电线布置，开关等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盏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井盖更换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原水泥井盖更换成金属下沉式井盖、加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不锈钢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井盖锁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边框角铁65*65*5mm，钢筋网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≥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20mm@150mm,钢板厚度1.2mm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成品花箱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1、花箱材质为高强度铝合金型材，壁厚≥1.2mm整体结构牢固；内设加强横梁及加固支撑；均匀设置排水孔。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2、花箱采用分段式结构，单段2-3米，宽度400mm，高度500mm。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3、绿植为易打理耐活，如金森女贞、红花檵木、长春花、佛甲草、三角梅等搭配。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4"/>
              <w:jc w:val="center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装饰窗套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EPS装饰构件材料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材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质规格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尺寸：≥70mm厚+≥120mm宽，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窗户尺寸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2.62*1.95、2.62*1.15、2.62*1.72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2.62*1.74、2.63*1.74、2.64*1.73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2.62*1.14、2.62*1.95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3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3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pacing w:val="0"/>
                <w:kern w:val="32"/>
                <w:sz w:val="28"/>
                <w:szCs w:val="28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default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零星收口、收边处理等</w:t>
            </w:r>
          </w:p>
        </w:tc>
        <w:tc>
          <w:tcPr>
            <w:tcW w:w="4975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与原建筑的衔接及过渡处理；对原建筑周边开裂、破损的散水沟进行修复；对2根4.5米高雨水管包管美化处理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，一根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3m高空调管美化处理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；原通道增设2处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长3.2米、厚2公分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门头石；增设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一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步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长度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3.2米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踏步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、旧LED显示屏拆除及安装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等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详见示意图</w:t>
            </w:r>
          </w:p>
        </w:tc>
        <w:tc>
          <w:tcPr>
            <w:tcW w:w="7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9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center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8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both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合计金额</w:t>
            </w:r>
          </w:p>
        </w:tc>
        <w:tc>
          <w:tcPr>
            <w:tcW w:w="605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both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大写：</w:t>
            </w:r>
          </w:p>
        </w:tc>
        <w:tc>
          <w:tcPr>
            <w:tcW w:w="4832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vertAlign w:val="baseline"/>
              </w:rPr>
              <w:t>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82" w:type="dxa"/>
            <w:gridSpan w:val="2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baseline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10888" w:type="dxa"/>
            <w:gridSpan w:val="6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40" w:lineRule="exact"/>
              <w:rPr>
                <w:rFonts w:hint="eastAsia" w:eastAsia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报价包含文明施工和安全措施费。施工区域每天施工时长4-6小时，仅限男工进入。 报价考虑现场实际比示意图尺寸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可能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</w:rPr>
              <w:t>增加5%以内。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材质厚度尺寸偏差范围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vertAlign w:val="baseline"/>
                <w:lang w:eastAsia="zh-CN"/>
              </w:rPr>
              <w:t>±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6%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以内。</w:t>
            </w:r>
          </w:p>
        </w:tc>
      </w:tr>
    </w:tbl>
    <w:p>
      <w:pPr>
        <w:pStyle w:val="4"/>
        <w:rPr>
          <w:rFonts w:hint="eastAsia"/>
          <w:color w:val="auto"/>
          <w:sz w:val="28"/>
          <w:szCs w:val="28"/>
        </w:rPr>
      </w:pPr>
    </w:p>
    <w:p>
      <w:pPr>
        <w:pStyle w:val="4"/>
        <w:rPr>
          <w:rFonts w:hint="eastAsia"/>
          <w:color w:val="auto"/>
          <w:sz w:val="28"/>
          <w:szCs w:val="28"/>
        </w:rPr>
      </w:pPr>
    </w:p>
    <w:p>
      <w:pPr>
        <w:pStyle w:val="4"/>
        <w:rPr>
          <w:rFonts w:hint="eastAsia"/>
          <w:color w:val="auto"/>
          <w:sz w:val="28"/>
          <w:szCs w:val="28"/>
        </w:rPr>
      </w:pPr>
    </w:p>
    <w:p>
      <w:pPr>
        <w:pStyle w:val="4"/>
        <w:rPr>
          <w:rFonts w:hint="eastAsia"/>
          <w:color w:val="auto"/>
          <w:sz w:val="28"/>
          <w:szCs w:val="28"/>
        </w:rPr>
      </w:pPr>
    </w:p>
    <w:p>
      <w:pPr>
        <w:pStyle w:val="4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报价单位：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         联系人：</w:t>
      </w:r>
    </w:p>
    <w:p>
      <w:pPr>
        <w:pStyle w:val="4"/>
        <w:rPr>
          <w:rFonts w:hint="default"/>
          <w:color w:val="auto"/>
          <w:sz w:val="28"/>
          <w:szCs w:val="28"/>
          <w:lang w:val="en-US" w:eastAsia="zh-CN"/>
        </w:rPr>
      </w:pPr>
    </w:p>
    <w:p>
      <w:pPr>
        <w:pStyle w:val="4"/>
        <w:rPr>
          <w:rFonts w:hint="default" w:eastAsia="仿宋_GB2312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联系电话：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         报价时间：  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38490BA-095F-4324-87C4-A5E027084DC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9B0C225-ACFD-43C1-9D8E-1BE645AEB6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E11921D2-9248-41C3-9AD1-69DA5A271A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0EA56"/>
    <w:multiLevelType w:val="singleLevel"/>
    <w:tmpl w:val="A450EA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4D07"/>
    <w:rsid w:val="0340640A"/>
    <w:rsid w:val="09917913"/>
    <w:rsid w:val="1D005230"/>
    <w:rsid w:val="33544D9C"/>
    <w:rsid w:val="37701EEA"/>
    <w:rsid w:val="389A798A"/>
    <w:rsid w:val="39203948"/>
    <w:rsid w:val="410922F0"/>
    <w:rsid w:val="4AEE16C4"/>
    <w:rsid w:val="59CC430A"/>
    <w:rsid w:val="751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3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0"/>
    <w:pPr>
      <w:widowControl w:val="0"/>
      <w:spacing w:after="120" w:afterLines="0" w:line="340" w:lineRule="exact"/>
      <w:ind w:left="420" w:leftChars="200" w:right="-139" w:hangingChars="26" w:firstLine="420"/>
      <w:jc w:val="both"/>
    </w:pPr>
    <w:rPr>
      <w:rFonts w:ascii="华文中宋" w:hAnsi="华文中宋" w:eastAsia="华文中宋" w:cs="Times New Roman"/>
      <w:kern w:val="2"/>
      <w:sz w:val="24"/>
      <w:szCs w:val="20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1601</Words>
  <Characters>2018</Characters>
  <Lines>0</Lines>
  <Paragraphs>0</Paragraphs>
  <TotalTime>81</TotalTime>
  <ScaleCrop>false</ScaleCrop>
  <LinksUpToDate>false</LinksUpToDate>
  <CharactersWithSpaces>2163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2026-04-06T20:13:00Z</dcterms:created>
  <dc:creator>Administrator</dc:creator>
  <cp:lastModifiedBy>XAJY</cp:lastModifiedBy>
  <cp:lastPrinted>2026-04-27T08:38:00Z</cp:lastPrinted>
  <dcterms:modified xsi:type="dcterms:W3CDTF">2026-05-15T02:04:45Z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eyJoZGlkIjoiNDg3Njk0NGNmYzJiN2Q0ZjVjYWNjYjg4YjA1NGUxMDAiLCJ1c2VySWQiOiIxOTYxODk2OTEifQ==</vt:lpwstr>
  </property>
  <property fmtid="{D5CDD505-2E9C-101B-9397-08002B2CF9AE}" pid="4" name="ICV">
    <vt:lpwstr>95259B3B34C14A15868D5B582CC92324</vt:lpwstr>
  </property>
</Properties>
</file>