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before="75" w:beforeAutospacing="0" w:after="75" w:afterAutospacing="0"/>
        <w:ind w:left="0" w:right="0" w:firstLine="0"/>
        <w:jc w:val="center"/>
        <w:rPr>
          <w:rStyle w:val="10"/>
          <w:rFonts w:ascii="宋体" w:hAnsi="宋体" w:eastAsia="宋体" w:cs="宋体"/>
          <w:b/>
          <w:i w:val="0"/>
          <w:caps w:val="0"/>
          <w:color w:val="393939"/>
          <w:spacing w:val="0"/>
          <w:sz w:val="72"/>
          <w:szCs w:val="72"/>
          <w:shd w:val="clear" w:fill="FFFFFF"/>
        </w:rPr>
      </w:pP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ascii="宋体" w:hAnsi="宋体" w:eastAsia="宋体" w:cs="宋体"/>
          <w:b/>
          <w:i w:val="0"/>
          <w:caps w:val="0"/>
          <w:color w:val="393939"/>
          <w:spacing w:val="0"/>
          <w:sz w:val="72"/>
          <w:szCs w:val="72"/>
          <w:shd w:val="clear" w:fill="FFFFFF"/>
        </w:rPr>
        <w:t>福建省政府采购项目</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72"/>
          <w:szCs w:val="72"/>
          <w:shd w:val="clear" w:fill="FFFFFF"/>
        </w:rPr>
        <w:t>竞争性谈判文件</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宋体" w:cs="微软雅黑"/>
          <w:i w:val="0"/>
          <w:caps w:val="0"/>
          <w:color w:val="393939"/>
          <w:spacing w:val="0"/>
          <w:sz w:val="19"/>
          <w:szCs w:val="19"/>
          <w:lang w:eastAsia="zh-CN"/>
        </w:rPr>
      </w:pPr>
      <w:r>
        <w:rPr>
          <w:rFonts w:hint="eastAsia" w:ascii="宋体" w:hAnsi="宋体" w:eastAsia="宋体" w:cs="宋体"/>
          <w:i w:val="0"/>
          <w:caps w:val="0"/>
          <w:color w:val="393939"/>
          <w:spacing w:val="0"/>
          <w:sz w:val="70"/>
          <w:szCs w:val="70"/>
          <w:shd w:val="clear" w:fill="FFFFFF"/>
          <w:lang w:eastAsia="zh-CN"/>
        </w:rPr>
        <w:t>【</w:t>
      </w:r>
      <w:r>
        <w:rPr>
          <w:rFonts w:hint="eastAsia" w:ascii="宋体" w:hAnsi="宋体" w:eastAsia="宋体" w:cs="宋体"/>
          <w:i w:val="0"/>
          <w:caps w:val="0"/>
          <w:color w:val="393939"/>
          <w:spacing w:val="0"/>
          <w:sz w:val="70"/>
          <w:szCs w:val="70"/>
          <w:shd w:val="clear" w:fill="FFFFFF"/>
          <w:lang w:val="en-US" w:eastAsia="zh-CN"/>
        </w:rPr>
        <w:t>预公告版</w:t>
      </w:r>
      <w:r>
        <w:rPr>
          <w:rFonts w:hint="eastAsia" w:ascii="宋体" w:hAnsi="宋体" w:eastAsia="宋体" w:cs="宋体"/>
          <w:i w:val="0"/>
          <w:caps w:val="0"/>
          <w:color w:val="393939"/>
          <w:spacing w:val="0"/>
          <w:sz w:val="70"/>
          <w:szCs w:val="70"/>
          <w:shd w:val="clear" w:fill="FFFFFF"/>
          <w:lang w:eastAsia="zh-CN"/>
        </w:rPr>
        <w:t>】</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30"/>
          <w:szCs w:val="30"/>
          <w:shd w:val="clear" w:fill="FFFFFF"/>
        </w:rPr>
        <w:t> 项目名称：</w:t>
      </w:r>
      <w:r>
        <w:rPr>
          <w:rFonts w:hint="eastAsia" w:ascii="宋体" w:hAnsi="宋体" w:eastAsia="宋体" w:cs="宋体"/>
          <w:b/>
          <w:i w:val="0"/>
          <w:caps w:val="0"/>
          <w:color w:val="393939"/>
          <w:spacing w:val="0"/>
          <w:sz w:val="30"/>
          <w:szCs w:val="30"/>
          <w:shd w:val="clear" w:fill="FFFFFF"/>
        </w:rPr>
        <w:t>福建省司法警察训练总队训练器材货物类采购项目</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30"/>
          <w:szCs w:val="30"/>
          <w:shd w:val="clear" w:fill="FFFFFF"/>
        </w:rPr>
        <w:t> 备案编号：</w:t>
      </w:r>
      <w:r>
        <w:rPr>
          <w:rFonts w:hint="eastAsia" w:ascii="宋体" w:hAnsi="宋体" w:eastAsia="宋体" w:cs="宋体"/>
          <w:b/>
          <w:i w:val="0"/>
          <w:caps w:val="0"/>
          <w:color w:val="393939"/>
          <w:spacing w:val="0"/>
          <w:sz w:val="30"/>
          <w:szCs w:val="30"/>
          <w:shd w:val="clear" w:fill="FFFFFF"/>
        </w:rPr>
        <w:t>K-办公-JT-202112-B0083-IDN</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30"/>
          <w:szCs w:val="30"/>
          <w:shd w:val="clear" w:fill="FFFFFF"/>
        </w:rPr>
        <w:t> 项目编号：</w:t>
      </w:r>
      <w:r>
        <w:rPr>
          <w:rFonts w:hint="eastAsia" w:ascii="宋体" w:hAnsi="宋体" w:eastAsia="宋体" w:cs="宋体"/>
          <w:b/>
          <w:i w:val="0"/>
          <w:caps w:val="0"/>
          <w:color w:val="393939"/>
          <w:spacing w:val="0"/>
          <w:sz w:val="30"/>
          <w:szCs w:val="30"/>
          <w:shd w:val="clear" w:fill="FFFFFF"/>
        </w:rPr>
        <w:t>[3500]FZHTZB[TP]2021007</w:t>
      </w:r>
    </w:p>
    <w:p>
      <w:pPr>
        <w:pStyle w:val="7"/>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r>
        <w:rPr>
          <w:rFonts w:hint="eastAsia" w:ascii="宋体" w:hAnsi="宋体" w:eastAsia="宋体" w:cs="宋体"/>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r>
        <w:rPr>
          <w:rStyle w:val="10"/>
          <w:rFonts w:hint="eastAsia" w:ascii="宋体" w:hAnsi="宋体" w:eastAsia="宋体" w:cs="宋体"/>
          <w:b/>
          <w:i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p>
    <w:p>
      <w:pPr>
        <w:pStyle w:val="7"/>
        <w:keepNext w:val="0"/>
        <w:keepLines w:val="0"/>
        <w:widowControl/>
        <w:suppressLineNumbers w:val="0"/>
        <w:shd w:val="clear" w:fill="FFFFFF"/>
        <w:spacing w:before="75" w:beforeAutospacing="0" w:after="75" w:afterAutospacing="0"/>
        <w:ind w:left="0" w:right="0" w:firstLine="0"/>
        <w:rPr>
          <w:rStyle w:val="10"/>
          <w:rFonts w:hint="eastAsia" w:ascii="宋体" w:hAnsi="宋体" w:eastAsia="宋体" w:cs="宋体"/>
          <w:b/>
          <w:i w:val="0"/>
          <w:caps w:val="0"/>
          <w:color w:val="393939"/>
          <w:spacing w:val="0"/>
          <w:sz w:val="24"/>
          <w:szCs w:val="24"/>
          <w:shd w:val="clear" w:fill="FFFFFF"/>
        </w:rPr>
      </w:pPr>
    </w:p>
    <w:p>
      <w:pPr>
        <w:keepNext w:val="0"/>
        <w:keepLines w:val="0"/>
        <w:widowControl/>
        <w:suppressLineNumbers w:val="0"/>
        <w:jc w:val="left"/>
      </w:pPr>
      <w:r>
        <w:rPr>
          <w:rStyle w:val="10"/>
          <w:rFonts w:hint="eastAsia" w:ascii="微软雅黑" w:hAnsi="微软雅黑" w:eastAsia="微软雅黑" w:cs="微软雅黑"/>
          <w:b/>
          <w:i w:val="0"/>
          <w:caps w:val="0"/>
          <w:color w:val="393939"/>
          <w:spacing w:val="0"/>
          <w:kern w:val="0"/>
          <w:sz w:val="19"/>
          <w:szCs w:val="19"/>
          <w:shd w:val="clear" w:fill="FFFFFF"/>
          <w:lang w:val="en-US" w:eastAsia="zh-CN" w:bidi="ar"/>
        </w:rPr>
        <w:t> </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宋体" w:hAnsi="宋体" w:eastAsia="宋体" w:cs="宋体"/>
          <w:b/>
          <w:i w:val="0"/>
          <w:caps w:val="0"/>
          <w:color w:val="393939"/>
          <w:spacing w:val="0"/>
          <w:sz w:val="30"/>
          <w:szCs w:val="30"/>
          <w:shd w:val="clear" w:fill="FFFFFF"/>
        </w:rPr>
      </w:pP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Fonts w:hint="eastAsia" w:ascii="宋体" w:hAnsi="宋体" w:eastAsia="宋体" w:cs="宋体"/>
          <w:b/>
          <w:i w:val="0"/>
          <w:caps w:val="0"/>
          <w:color w:val="393939"/>
          <w:spacing w:val="0"/>
          <w:sz w:val="30"/>
          <w:szCs w:val="30"/>
          <w:shd w:val="clear" w:fill="FFFFFF"/>
        </w:rPr>
        <w:t>福州华腾招标有限公司</w:t>
      </w:r>
      <w:r>
        <w:rPr>
          <w:rStyle w:val="10"/>
          <w:rFonts w:hint="eastAsia" w:ascii="宋体" w:hAnsi="宋体" w:eastAsia="宋体" w:cs="宋体"/>
          <w:b/>
          <w:i w:val="0"/>
          <w:caps w:val="0"/>
          <w:color w:val="393939"/>
          <w:spacing w:val="0"/>
          <w:sz w:val="30"/>
          <w:szCs w:val="30"/>
          <w:shd w:val="clear" w:fill="FFFFFF"/>
        </w:rPr>
        <w:t> </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caps w:val="0"/>
          <w:color w:val="393939"/>
          <w:spacing w:val="0"/>
          <w:sz w:val="19"/>
          <w:szCs w:val="19"/>
        </w:rPr>
      </w:pPr>
      <w:r>
        <w:rPr>
          <w:rStyle w:val="10"/>
          <w:rFonts w:hint="eastAsia" w:ascii="宋体" w:hAnsi="宋体" w:eastAsia="宋体" w:cs="宋体"/>
          <w:b/>
          <w:i w:val="0"/>
          <w:caps w:val="0"/>
          <w:color w:val="393939"/>
          <w:spacing w:val="0"/>
          <w:sz w:val="30"/>
          <w:szCs w:val="30"/>
          <w:shd w:val="clear" w:fill="FFFFFF"/>
        </w:rPr>
        <w:t>202</w:t>
      </w:r>
      <w:r>
        <w:rPr>
          <w:rStyle w:val="10"/>
          <w:rFonts w:hint="eastAsia" w:ascii="宋体" w:hAnsi="宋体" w:eastAsia="宋体" w:cs="宋体"/>
          <w:b/>
          <w:i w:val="0"/>
          <w:caps w:val="0"/>
          <w:color w:val="393939"/>
          <w:spacing w:val="0"/>
          <w:sz w:val="30"/>
          <w:szCs w:val="30"/>
          <w:shd w:val="clear" w:fill="FFFFFF"/>
          <w:lang w:val="en-US" w:eastAsia="zh-CN"/>
        </w:rPr>
        <w:t>2</w:t>
      </w:r>
      <w:r>
        <w:rPr>
          <w:rStyle w:val="10"/>
          <w:rFonts w:hint="eastAsia" w:ascii="宋体" w:hAnsi="宋体" w:eastAsia="宋体" w:cs="宋体"/>
          <w:b/>
          <w:i w:val="0"/>
          <w:caps w:val="0"/>
          <w:color w:val="393939"/>
          <w:spacing w:val="0"/>
          <w:sz w:val="30"/>
          <w:szCs w:val="30"/>
          <w:shd w:val="clear" w:fill="FFFFFF"/>
        </w:rPr>
        <w:t>年</w:t>
      </w:r>
      <w:r>
        <w:rPr>
          <w:rStyle w:val="10"/>
          <w:rFonts w:hint="eastAsia" w:ascii="宋体" w:hAnsi="宋体" w:eastAsia="宋体" w:cs="宋体"/>
          <w:b/>
          <w:i w:val="0"/>
          <w:caps w:val="0"/>
          <w:color w:val="393939"/>
          <w:spacing w:val="0"/>
          <w:sz w:val="30"/>
          <w:szCs w:val="30"/>
          <w:shd w:val="clear" w:fill="FFFFFF"/>
          <w:lang w:val="en-US" w:eastAsia="zh-CN"/>
        </w:rPr>
        <w:t>03</w:t>
      </w:r>
      <w:r>
        <w:rPr>
          <w:rStyle w:val="10"/>
          <w:rFonts w:hint="eastAsia" w:ascii="宋体" w:hAnsi="宋体" w:eastAsia="宋体" w:cs="宋体"/>
          <w:b/>
          <w:i w:val="0"/>
          <w:caps w:val="0"/>
          <w:color w:val="393939"/>
          <w:spacing w:val="0"/>
          <w:sz w:val="30"/>
          <w:szCs w:val="30"/>
          <w:shd w:val="clear" w:fill="FFFFFF"/>
        </w:rPr>
        <w:t>月</w:t>
      </w:r>
      <w:bookmarkStart w:id="0" w:name="_GoBack"/>
      <w:bookmarkEnd w:id="0"/>
    </w:p>
    <w:p>
      <w:pPr>
        <w:pStyle w:val="7"/>
        <w:keepNext w:val="0"/>
        <w:keepLines w:val="0"/>
        <w:widowControl/>
        <w:suppressLineNumbers w:val="0"/>
        <w:shd w:val="clear" w:fill="FFFFFF"/>
        <w:spacing w:before="75" w:beforeAutospacing="0" w:after="75" w:afterAutospacing="0"/>
        <w:ind w:left="0" w:right="0" w:firstLine="0"/>
        <w:jc w:val="center"/>
      </w:pPr>
      <w:r>
        <w:rPr>
          <w:rStyle w:val="10"/>
          <w:rFonts w:hint="eastAsia" w:ascii="宋体" w:hAnsi="宋体" w:eastAsia="宋体" w:cs="宋体"/>
          <w:b/>
          <w:spacing w:val="0"/>
          <w:sz w:val="43"/>
          <w:szCs w:val="43"/>
        </w:rPr>
        <w:t>第一章  采购公告/采购邀请</w:t>
      </w:r>
      <w:r>
        <w:rPr>
          <w:rStyle w:val="10"/>
          <w:rFonts w:hint="eastAsia" w:ascii="宋体" w:hAnsi="宋体" w:eastAsia="宋体" w:cs="宋体"/>
          <w:b/>
          <w:spacing w:val="0"/>
          <w:sz w:val="43"/>
          <w:szCs w:val="43"/>
          <w:lang w:val="en-US" w:eastAsia="zh-CN"/>
        </w:rPr>
        <w:t>书</w:t>
      </w: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spacing w:val="0"/>
          <w:sz w:val="43"/>
          <w:szCs w:val="43"/>
        </w:rPr>
      </w:pP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43"/>
          <w:szCs w:val="43"/>
        </w:rPr>
        <w:t>竞争性谈判采购公告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福建省司法警察训练总队已根据政府采购相关法律法规，经相应程序确定采用 竞争性谈判 方式组织福建省司法警察训练总队训练器材货物类采购项目项目（以下简称：“本项目”）的政府采购活动，现欢迎国内合格的供应商前来参加。本项目由采购人委托福州华腾招标有限公司开展竞争性谈判活动。</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1.项目名称：福建省司法警察训练总队训练器材货物类采购项目</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2.备案编号：K-办公-JT-202112-B0083-IDN</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3.项目编号：[3500]FZHTZB[TP]2021007</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
        <w:gridCol w:w="832"/>
        <w:gridCol w:w="1665"/>
        <w:gridCol w:w="832"/>
        <w:gridCol w:w="832"/>
        <w:gridCol w:w="832"/>
        <w:gridCol w:w="832"/>
        <w:gridCol w:w="16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w:t>
            </w: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合同包预算</w:t>
            </w:r>
          </w:p>
        </w:tc>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谈判保证金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4993" w:type="dxa"/>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8"/>
              <w:tblW w:w="4962" w:type="dxa"/>
              <w:jc w:val="center"/>
              <w:tblInd w:w="0" w:type="dxa"/>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44"/>
              <w:gridCol w:w="1488"/>
              <w:gridCol w:w="744"/>
              <w:gridCol w:w="744"/>
              <w:gridCol w:w="1242"/>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7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48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其他体育设备</w:t>
                  </w:r>
                </w:p>
              </w:tc>
              <w:tc>
                <w:tcPr>
                  <w:tcW w:w="7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1（批）</w:t>
                  </w:r>
                </w:p>
              </w:tc>
              <w:tc>
                <w:tcPr>
                  <w:tcW w:w="74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250000</w:t>
                  </w:r>
                </w:p>
              </w:tc>
              <w:tc>
                <w:tcPr>
                  <w:tcW w:w="12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bl>
          <w:p>
            <w:pPr>
              <w:jc w:val="center"/>
            </w:pPr>
          </w:p>
        </w:tc>
        <w:tc>
          <w:tcPr>
            <w:tcW w:w="83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250000</w:t>
            </w:r>
          </w:p>
        </w:tc>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2500</w:t>
            </w:r>
          </w:p>
        </w:tc>
      </w:tr>
    </w:tbl>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5.采购项目需要落实的政府采购政策：</w:t>
      </w:r>
      <w:r>
        <w:rPr>
          <w:rFonts w:hint="eastAsia" w:ascii="宋体" w:hAnsi="宋体" w:eastAsia="宋体" w:cs="宋体"/>
          <w:spacing w:val="0"/>
          <w:sz w:val="24"/>
          <w:szCs w:val="24"/>
        </w:rPr>
        <w:t>（1）进口产品：无。（2）节能产品：无。（3）环境标志产品：无。（4）信息安全产品：无。（5）小型、微型企业：适用于合同包1。（6）监狱企业：适用于合同包1。（7）促进残疾人就业 ：适用于合同包1。（8）信用记录：适用于合同包1，按照下列规定执行：A、供应商应在采购公告发布后、响应文件递交截止时间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B、查询结果的审查：①由谈判小组通过上述网站查询并打印供应商信用记录（以下简称：“谈判小组的查询结果”）。②供应商提供的查询结果与谈判小组的查询结果不一致的，以谈判小组的查询结果为准。③因上述网站原因导致谈判小组无法查询供应商信用记录的（谈判小组应将通过上述网站查询供应商信用记录时的原始页面打印后随采购文件一并存档），以供应商提供的查询结果为准。④查询结果存在供应商应被拒绝参与政府采购活动相关信息的，其资格审查不合格。（9）其他政策：无。</w:t>
      </w:r>
    </w:p>
    <w:p>
      <w:pPr>
        <w:pStyle w:val="7"/>
        <w:keepNext w:val="0"/>
        <w:keepLines w:val="0"/>
        <w:widowControl/>
        <w:suppressLineNumbers w:val="0"/>
        <w:spacing w:before="75" w:beforeAutospacing="0" w:after="75" w:afterAutospacing="0"/>
        <w:ind w:left="0" w:right="0" w:firstLine="120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6.供应商的资格要求</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6.1法定条件：符合《中华人民共和国政府采购法》第二十二条第一款规定的条件。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6.2特定条件：</w:t>
      </w:r>
    </w:p>
    <w:p>
      <w:pPr>
        <w:pStyle w:val="7"/>
        <w:keepNext w:val="0"/>
        <w:keepLines w:val="0"/>
        <w:widowControl/>
        <w:suppressLineNumbers w:val="0"/>
        <w:spacing w:before="75" w:beforeAutospacing="0" w:after="240" w:afterAutospacing="0"/>
        <w:ind w:left="0" w:right="0" w:firstLine="0"/>
      </w:pPr>
      <w:r>
        <w:rPr>
          <w:rFonts w:hint="eastAsia" w:ascii="宋体" w:hAnsi="宋体" w:eastAsia="宋体" w:cs="宋体"/>
          <w:spacing w:val="0"/>
          <w:sz w:val="24"/>
          <w:szCs w:val="24"/>
          <w:shd w:val="clear" w:fill="FFFFFF"/>
        </w:rPr>
        <w:t>    </w:t>
      </w:r>
      <w:r>
        <w:rPr>
          <w:rStyle w:val="10"/>
          <w:rFonts w:hint="eastAsia" w:ascii="宋体" w:hAnsi="宋体" w:eastAsia="宋体" w:cs="宋体"/>
          <w:b/>
          <w:spacing w:val="0"/>
          <w:sz w:val="24"/>
          <w:szCs w:val="24"/>
          <w:shd w:val="clear" w:fill="FFFFFF"/>
        </w:rPr>
        <w:t>包：1</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47"/>
        <w:gridCol w:w="527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3047"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527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30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w:t>
            </w:r>
          </w:p>
        </w:tc>
        <w:tc>
          <w:tcPr>
            <w:tcW w:w="52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本项目为专门面向中小企业采购包，供应商应按以下要求提供相关证明材料：1、按照财政部、工信部文件（财库〔2020〕46号）规定，</w:t>
            </w:r>
            <w:r>
              <w:rPr>
                <w:rFonts w:hint="eastAsia" w:ascii="宋体" w:hAnsi="宋体" w:eastAsia="宋体" w:cs="宋体"/>
                <w:kern w:val="0"/>
                <w:sz w:val="24"/>
                <w:szCs w:val="24"/>
                <w:lang w:val="en-US" w:eastAsia="zh-CN" w:bidi="ar"/>
              </w:rPr>
              <w:t>供应商</w:t>
            </w:r>
            <w:r>
              <w:rPr>
                <w:rFonts w:ascii="宋体" w:hAnsi="宋体" w:eastAsia="宋体" w:cs="宋体"/>
                <w:kern w:val="0"/>
                <w:sz w:val="24"/>
                <w:szCs w:val="24"/>
                <w:lang w:val="en-US" w:eastAsia="zh-CN" w:bidi="ar"/>
              </w:rPr>
              <w:t>符合《工业和信息化部、国家统计局、国家发展和改革委员会、财政部关于印发中小企业划型标准规定的通知》（工信部联企业[2011]300号）规定的划分标准，提供中小企业声明函（</w:t>
            </w:r>
            <w:r>
              <w:rPr>
                <w:rFonts w:hint="eastAsia" w:ascii="宋体" w:hAnsi="宋体" w:eastAsia="宋体" w:cs="宋体"/>
                <w:kern w:val="0"/>
                <w:sz w:val="24"/>
                <w:szCs w:val="24"/>
                <w:lang w:val="en-US" w:eastAsia="zh-CN" w:bidi="ar"/>
              </w:rPr>
              <w:t>货物</w:t>
            </w:r>
            <w:r>
              <w:rPr>
                <w:rFonts w:ascii="宋体" w:hAnsi="宋体" w:eastAsia="宋体" w:cs="宋体"/>
                <w:kern w:val="0"/>
                <w:sz w:val="24"/>
                <w:szCs w:val="24"/>
                <w:lang w:val="en-US" w:eastAsia="zh-CN" w:bidi="ar"/>
              </w:rPr>
              <w:t>类）。2、供应商为监狱企业的，可不填写本声明函，根据其提供的由省级以上监狱管理局、戒毒管理局（含新疆生产建设兵团）出具的属于监狱企业的证明文件进行认定，监狱企业视同小型、微型企业。3、供应商为残疾人福利性单位的，可不填写本声明函，根据其提供的《残疾人福利性单位声明函》进行认定，残疾人福利性单位视同小型、微型企业。4、纸质响应文件正本中的本声明函（若有）应为原件。※本项目为货物类采购包，采购标的所属行业为“工业”，供应商应按照谈判文件第五章规定提供，否则其响应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304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单位负责人授权书（若有）</w:t>
            </w:r>
          </w:p>
        </w:tc>
        <w:tc>
          <w:tcPr>
            <w:tcW w:w="52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纸质响应文件正本中的本授权书（若有）应为原件。电子响应文件中的本授权书（若有）应为原件的扫描件。供应商应按照</w:t>
            </w:r>
            <w:r>
              <w:rPr>
                <w:rFonts w:hint="eastAsia" w:ascii="宋体" w:hAnsi="宋体" w:eastAsia="宋体" w:cs="宋体"/>
                <w:kern w:val="0"/>
                <w:sz w:val="24"/>
                <w:szCs w:val="24"/>
                <w:lang w:val="en-US" w:eastAsia="zh-CN" w:bidi="ar"/>
              </w:rPr>
              <w:t>谈判</w:t>
            </w:r>
            <w:r>
              <w:rPr>
                <w:rFonts w:ascii="宋体" w:hAnsi="宋体" w:eastAsia="宋体" w:cs="宋体"/>
                <w:kern w:val="0"/>
                <w:sz w:val="24"/>
                <w:szCs w:val="24"/>
                <w:lang w:val="en-US" w:eastAsia="zh-CN" w:bidi="ar"/>
              </w:rPr>
              <w:t>文件第五章规定提供。</w:t>
            </w:r>
          </w:p>
        </w:tc>
      </w:tr>
    </w:tbl>
    <w:p>
      <w:pPr>
        <w:pStyle w:val="7"/>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shd w:val="clear" w:fill="FFFFFF"/>
        </w:rPr>
        <w:t>6.3是否接受联合体形式的响应谈判：不接受</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b/>
          <w:spacing w:val="0"/>
          <w:sz w:val="24"/>
          <w:szCs w:val="24"/>
        </w:rPr>
        <w:t>※</w:t>
      </w:r>
      <w:r>
        <w:rPr>
          <w:rStyle w:val="10"/>
          <w:rFonts w:hint="eastAsia" w:ascii="宋体" w:hAnsi="宋体" w:eastAsia="宋体" w:cs="宋体"/>
          <w:b/>
          <w:spacing w:val="0"/>
          <w:sz w:val="24"/>
          <w:szCs w:val="24"/>
          <w:shd w:val="clear" w:fill="FFFFFF"/>
        </w:rPr>
        <w:t>根据上述资格要求，供应商响应文件中应提交的“资格证明文件”相关规定和资料要求，详见竞争性谈判须知前附表和谈判文件第五章。</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7.供应商报名期限：详见谈判公告或更正公告（若有），若不一致，以更正公告（若有）为准</w:t>
      </w:r>
      <w:r>
        <w:rPr>
          <w:rFonts w:hint="eastAsia" w:ascii="宋体" w:hAnsi="宋体" w:eastAsia="宋体" w:cs="宋体"/>
          <w:spacing w:val="0"/>
          <w:sz w:val="24"/>
          <w:szCs w:val="24"/>
          <w:shd w:val="clear" w:fill="FFFFFF"/>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7.1如果采购过程中有发出更正公告，采购人将根据实际情况确定是否延长报名期限，则报名截止时间以更正公告中的约定为准。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8.获取采购文件时间、地点、方式：</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 8.1采购文件的提供期限：</w:t>
      </w:r>
      <w:r>
        <w:rPr>
          <w:rFonts w:hint="eastAsia" w:ascii="宋体" w:hAnsi="宋体" w:eastAsia="宋体" w:cs="宋体"/>
          <w:spacing w:val="0"/>
          <w:sz w:val="24"/>
          <w:szCs w:val="24"/>
        </w:rPr>
        <w:t>详见谈判公告或更正公告（若有），若不一致，以更正公告（若有）为准。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8.2获取地点及方式：从福建省政府采购网上公开信息系统以下载方式获取。</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9.采购文件售价：</w:t>
      </w:r>
      <w:r>
        <w:rPr>
          <w:rFonts w:hint="eastAsia" w:ascii="宋体" w:hAnsi="宋体" w:eastAsia="宋体" w:cs="宋体"/>
          <w:spacing w:val="0"/>
          <w:sz w:val="24"/>
          <w:szCs w:val="24"/>
          <w:shd w:val="clear" w:fill="FFFFFF"/>
        </w:rPr>
        <w:t>0元。</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10.首次响应文件递交截止时间及地点：</w:t>
      </w:r>
      <w:r>
        <w:rPr>
          <w:rFonts w:hint="eastAsia" w:ascii="宋体" w:hAnsi="宋体" w:eastAsia="宋体" w:cs="宋体"/>
        </w:rPr>
        <w:t>详见谈判公告或更正公告（若有），若不一致，以更正公告（若有）为准。</w:t>
      </w:r>
      <w:r>
        <w:rPr>
          <w:rFonts w:hint="eastAsia" w:ascii="宋体" w:hAnsi="宋体" w:eastAsia="宋体" w:cs="宋体"/>
          <w:spacing w:val="0"/>
          <w:sz w:val="24"/>
          <w:szCs w:val="24"/>
          <w:shd w:val="clear" w:fill="FFFFFF"/>
        </w:rPr>
        <w:t>供应商应在此之前将密封的首次响应文件送达本章第11条载明的地点，逾期送达的或不符合规定的响应文件将被拒绝接收。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11.谈判时间及地点：详见谈判公告或更正公告（若有），若不一致，以更正公告（若有）为准。</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12.竞争性谈判公告期限：自财政部和福建省财政厅指定的政府采购信息发布媒体最先发布公告之日起3个工作日</w:t>
      </w:r>
      <w:r>
        <w:rPr>
          <w:rFonts w:hint="eastAsia" w:ascii="宋体" w:hAnsi="宋体" w:eastAsia="宋体" w:cs="宋体"/>
          <w:spacing w:val="0"/>
          <w:sz w:val="24"/>
          <w:szCs w:val="24"/>
          <w:shd w:val="clear" w:fill="FFFFFF"/>
        </w:rPr>
        <w:t>。</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13.采购人：福建省司法警察训练总队</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址：福州市晋安区前横路127号</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联系人：杨国梁</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联系方法：杨国梁/0591-62718819</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代理机构：福州华腾招标有限公司</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址：福州市鼓楼区东大路36号花开富贵1#楼A座23层18H室、18I室、18J室</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联系人：吴明珠、罗国清</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联系方法：吴明珠、罗国清/0591-83300142-8005</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附1：提交谈判保证金的银行账户信息</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Style w:val="10"/>
                <w:rFonts w:hint="eastAsia" w:ascii="宋体" w:hAnsi="宋体" w:eastAsia="宋体" w:cs="宋体"/>
                <w:b/>
                <w:spacing w:val="0"/>
                <w:sz w:val="24"/>
                <w:szCs w:val="24"/>
              </w:rPr>
              <w:t>银行账户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开户名称：福州华腾招标有限公司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开户银行：由供应商在福建省政府采购网上公开信息系统报名成功后根据系统的提示，自行选择要缴交的保证金托管银行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Style w:val="10"/>
                <w:rFonts w:hint="eastAsia" w:ascii="宋体" w:hAnsi="宋体" w:eastAsia="宋体" w:cs="宋体"/>
                <w:b/>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1、请供应商务必认真核对账户信息，将谈判保证金款项汇入对应账户，并自行承担因款项汇错而产生的一切后果。</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2、请供应商在转账或电汇的凭证上务必按照以下格式注明，以便核对：“（项目编号：***、合同包：***）的谈判保证金”。</w:t>
            </w:r>
          </w:p>
        </w:tc>
      </w:tr>
    </w:tbl>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caps w:val="0"/>
          <w:color w:val="393939"/>
          <w:spacing w:val="0"/>
          <w:sz w:val="19"/>
          <w:szCs w:val="19"/>
        </w:rPr>
      </w:pPr>
    </w:p>
    <w:p>
      <w:pPr>
        <w:rPr>
          <w:rStyle w:val="10"/>
          <w:rFonts w:hint="eastAsia" w:ascii="宋体" w:hAnsi="宋体" w:eastAsia="宋体" w:cs="宋体"/>
          <w:b/>
          <w:spacing w:val="0"/>
          <w:sz w:val="43"/>
          <w:szCs w:val="43"/>
        </w:rPr>
      </w:pPr>
      <w:r>
        <w:rPr>
          <w:rStyle w:val="10"/>
          <w:rFonts w:hint="eastAsia" w:ascii="宋体" w:hAnsi="宋体" w:eastAsia="宋体" w:cs="宋体"/>
          <w:b/>
          <w:spacing w:val="0"/>
          <w:sz w:val="43"/>
          <w:szCs w:val="43"/>
        </w:rPr>
        <w:br w:type="page"/>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43"/>
          <w:szCs w:val="43"/>
        </w:rPr>
        <w:t>第二章  竞争性谈判须知</w:t>
      </w:r>
    </w:p>
    <w:p>
      <w:pPr>
        <w:keepNext w:val="0"/>
        <w:keepLines w:val="0"/>
        <w:widowControl/>
        <w:suppressLineNumbers w:val="0"/>
        <w:jc w:val="left"/>
      </w:pPr>
      <w:r>
        <w:rPr>
          <w:rStyle w:val="10"/>
          <w:rFonts w:ascii="宋体" w:hAnsi="宋体" w:eastAsia="宋体" w:cs="宋体"/>
          <w:b/>
          <w:kern w:val="0"/>
          <w:sz w:val="24"/>
          <w:szCs w:val="24"/>
          <w:lang w:val="en-US" w:eastAsia="zh-CN" w:bidi="ar"/>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          </w:t>
      </w:r>
      <w:r>
        <w:rPr>
          <w:rStyle w:val="10"/>
          <w:rFonts w:hint="eastAsia" w:ascii="宋体" w:hAnsi="宋体" w:eastAsia="宋体" w:cs="宋体"/>
          <w:b/>
          <w:spacing w:val="0"/>
          <w:sz w:val="31"/>
          <w:szCs w:val="31"/>
        </w:rPr>
        <w:t> 第1节  竞争性谈判须知前附表</w:t>
      </w:r>
    </w:p>
    <w:p>
      <w:pPr>
        <w:pStyle w:val="7"/>
        <w:keepNext w:val="0"/>
        <w:keepLines w:val="0"/>
        <w:widowControl/>
        <w:suppressLineNumbers w:val="0"/>
        <w:spacing w:before="75" w:beforeAutospacing="0" w:after="240" w:afterAutospacing="0" w:line="435" w:lineRule="atLeast"/>
        <w:ind w:left="0" w:right="0" w:firstLine="480"/>
      </w:pPr>
      <w:r>
        <w:rPr>
          <w:rFonts w:hint="eastAsia" w:ascii="宋体" w:hAnsi="宋体" w:eastAsia="宋体" w:cs="宋体"/>
          <w:spacing w:val="0"/>
          <w:sz w:val="24"/>
          <w:szCs w:val="24"/>
        </w:rPr>
        <w:t>竞争性谈判须知前附表是对竞争性谈判须知的补充和细化，二者如有矛盾，以前附表中的要求和规定为准</w:t>
      </w:r>
    </w:p>
    <w:tbl>
      <w:tblPr>
        <w:tblStyle w:val="8"/>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94"/>
        <w:gridCol w:w="832"/>
        <w:gridCol w:w="71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项号</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条款号</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jc w:val="center"/>
            </w:pPr>
            <w:r>
              <w:rPr>
                <w:rStyle w:val="10"/>
                <w:rFonts w:hint="eastAsia" w:ascii="宋体" w:hAnsi="宋体" w:eastAsia="宋体" w:cs="宋体"/>
                <w:b/>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供应商的资格要求</w:t>
            </w:r>
            <w:r>
              <w:rPr>
                <w:rFonts w:hint="eastAsia" w:ascii="宋体" w:hAnsi="宋体" w:eastAsia="宋体" w:cs="宋体"/>
                <w:spacing w:val="0"/>
                <w:sz w:val="24"/>
                <w:szCs w:val="24"/>
              </w:rPr>
              <w:t>：见谈判文件第一章“采购公告/采购邀请书”</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tbl>
            <w:tblPr>
              <w:tblStyle w:val="8"/>
              <w:tblW w:w="6965" w:type="dxa"/>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365"/>
              <w:gridCol w:w="460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236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600"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a1投标函</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a2单位负责人授权书</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a3法人或者其他组织的营业执照等证明文件，自然人的身份证明</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a4财务状况报告</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a5依法缴纳税收的相关材料</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提供投标截止时间前六个月任一个月的依法缴纳税收的凭据；或者提供依法免税的相应证明文件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a6依法缴纳社会保障资金的相关材料</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提供投标截止时间前六个月任一个月的依法缴纳社会保障资金的凭据；或者提供依法不需要缴纳社会保障资金的相应证明文件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a7具备履行合同所必需的设备和专业技术能力的材料</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由招标人根据采购需求在第一章“资格要求特定条件”中详细列明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a8参加政府采购活动前3年内在经营活动中没有重大违法记录的书面声明</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a9检察机关行贿犯罪档案查询结果告知函(若有)</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a10信用信息查询结果</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23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a11投标保证金</w:t>
                  </w:r>
                </w:p>
              </w:tc>
              <w:tc>
                <w:tcPr>
                  <w:tcW w:w="4600" w:type="dxa"/>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bl>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特定资格条件：</w:t>
            </w:r>
          </w:p>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shd w:val="clear" w:fill="FFFFFF"/>
              </w:rPr>
              <w:t>包：1</w:t>
            </w:r>
          </w:p>
          <w:tbl>
            <w:tblPr>
              <w:tblStyle w:val="8"/>
              <w:tblW w:w="6965" w:type="dxa"/>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215"/>
              <w:gridCol w:w="475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2215"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c>
                <w:tcPr>
                  <w:tcW w:w="4750"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21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w:t>
                  </w:r>
                </w:p>
              </w:tc>
              <w:tc>
                <w:tcPr>
                  <w:tcW w:w="47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本项目为专门面向中小企业采购包，供应商应按以下要求提供相关证明材料：1、按照财政部、工信部文件（财库〔2020〕46号）规定，投标人符合《工业和信息化部、国家统计局、国家发展和改革委员会、财政部关于印发中小企业划型标准规定的通知》（工信部联企业[2011]300号）规定的划分标准，提供中小企业声明函（</w:t>
                  </w:r>
                  <w:r>
                    <w:rPr>
                      <w:rFonts w:hint="eastAsia" w:ascii="宋体" w:hAnsi="宋体" w:eastAsia="宋体" w:cs="宋体"/>
                      <w:kern w:val="0"/>
                      <w:sz w:val="24"/>
                      <w:szCs w:val="24"/>
                      <w:lang w:val="en-US" w:eastAsia="zh-CN" w:bidi="ar"/>
                    </w:rPr>
                    <w:t>货物</w:t>
                  </w:r>
                  <w:r>
                    <w:rPr>
                      <w:rFonts w:ascii="宋体" w:hAnsi="宋体" w:eastAsia="宋体" w:cs="宋体"/>
                      <w:kern w:val="0"/>
                      <w:sz w:val="24"/>
                      <w:szCs w:val="24"/>
                      <w:lang w:val="en-US" w:eastAsia="zh-CN" w:bidi="ar"/>
                    </w:rPr>
                    <w:t>类）。2、供应商为监狱企业的，可不填写本声明函，根据其提供的由省级以上监狱管理局、戒毒管理局（含新疆生产建设兵团）出具的属于监狱企业的证明文件进行认定，监狱企业视同小型、微型企业。3、供应商为残疾人福利性单位的，可不填写本声明函，根据其提供的《残疾人福利性单位声明函》进行认定，残疾人福利性单位视同小型、微型企业。4、纸质响应文件正本中的本声明函（若有）应为原件。※本项目为货物类采购包，采购标的所属行业为“工业”，供应商应按照谈判文件第五章规定提供，否则其响应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221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单位负责人授权书（若有）</w:t>
                  </w:r>
                </w:p>
              </w:tc>
              <w:tc>
                <w:tcPr>
                  <w:tcW w:w="4750"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纸质响应文件正本中的本授权书（若有）应为原件。电子响应文件中的本授权书（若有）应为原件的扫描件。供应商应按照</w:t>
                  </w:r>
                  <w:r>
                    <w:rPr>
                      <w:rFonts w:hint="eastAsia" w:ascii="宋体" w:hAnsi="宋体" w:eastAsia="宋体" w:cs="宋体"/>
                      <w:kern w:val="0"/>
                      <w:sz w:val="24"/>
                      <w:szCs w:val="24"/>
                      <w:lang w:val="en-US" w:eastAsia="zh-CN" w:bidi="ar"/>
                    </w:rPr>
                    <w:t>谈判</w:t>
                  </w:r>
                  <w:r>
                    <w:rPr>
                      <w:rFonts w:ascii="宋体" w:hAnsi="宋体" w:eastAsia="宋体" w:cs="宋体"/>
                      <w:kern w:val="0"/>
                      <w:sz w:val="24"/>
                      <w:szCs w:val="24"/>
                      <w:lang w:val="en-US" w:eastAsia="zh-CN" w:bidi="ar"/>
                    </w:rPr>
                    <w:t>文件第五章规定提供。</w:t>
                  </w:r>
                </w:p>
              </w:tc>
            </w:tr>
          </w:tb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3.2.2</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是否接受联合体形式的响应谈判：</w:t>
            </w:r>
            <w:r>
              <w:rPr>
                <w:rFonts w:hint="eastAsia" w:ascii="宋体" w:hAnsi="宋体" w:eastAsia="宋体" w:cs="宋体"/>
                <w:spacing w:val="0"/>
                <w:sz w:val="24"/>
                <w:szCs w:val="24"/>
              </w:rPr>
              <w:t>不接受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90"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9.1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提交谈判保证金：</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本项目的谈判保证金详见《采购标的一览表》，数额不得超过采购项目预算金额的2%，提交方式为</w:t>
            </w:r>
            <w:r>
              <w:rPr>
                <w:spacing w:val="0"/>
                <w:sz w:val="24"/>
                <w:szCs w:val="24"/>
              </w:rPr>
              <w:t>由供应商对公账号转账至供应商报名时所生成虚拟账号 </w:t>
            </w:r>
            <w:r>
              <w:rPr>
                <w:rFonts w:hint="eastAsia" w:ascii="宋体" w:hAnsi="宋体" w:eastAsia="宋体" w:cs="宋体"/>
                <w:spacing w:val="0"/>
                <w:sz w:val="24"/>
                <w:szCs w:val="24"/>
              </w:rPr>
              <w:t>，须于提交响应文件截止时间前到达指定账户为准，是否到达以 </w:t>
            </w:r>
            <w:r>
              <w:rPr>
                <w:spacing w:val="0"/>
                <w:sz w:val="24"/>
                <w:szCs w:val="24"/>
              </w:rPr>
              <w:t>福建省政府采购网上公开信息系统记载 </w:t>
            </w:r>
            <w:r>
              <w:rPr>
                <w:rFonts w:hint="eastAsia" w:ascii="宋体" w:hAnsi="宋体" w:eastAsia="宋体" w:cs="宋体"/>
                <w:spacing w:val="0"/>
                <w:sz w:val="24"/>
                <w:szCs w:val="24"/>
              </w:rPr>
              <w:t>为准；</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其他约定：</w:t>
            </w:r>
            <w:r>
              <w:rPr>
                <w:spacing w:val="0"/>
                <w:sz w:val="24"/>
                <w:szCs w:val="24"/>
              </w:rPr>
              <w:t>无。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10.3.1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谈判保证金退还的其它要求：</w:t>
            </w:r>
            <w:r>
              <w:rPr>
                <w:spacing w:val="0"/>
                <w:sz w:val="24"/>
                <w:szCs w:val="24"/>
              </w:rPr>
              <w:t>无。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11.1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Style w:val="10"/>
                <w:rFonts w:hint="eastAsia" w:ascii="宋体" w:hAnsi="宋体" w:eastAsia="宋体" w:cs="宋体"/>
                <w:b/>
                <w:spacing w:val="0"/>
                <w:sz w:val="24"/>
                <w:szCs w:val="24"/>
              </w:rPr>
              <w:t>响应文件的份数</w:t>
            </w:r>
          </w:p>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7"/>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spacing w:val="0"/>
                <w:sz w:val="24"/>
                <w:szCs w:val="24"/>
              </w:rPr>
              <w:t>1 </w:t>
            </w:r>
            <w:r>
              <w:rPr>
                <w:rFonts w:hint="eastAsia" w:ascii="宋体" w:hAnsi="宋体" w:eastAsia="宋体" w:cs="宋体"/>
                <w:spacing w:val="0"/>
                <w:sz w:val="24"/>
                <w:szCs w:val="24"/>
              </w:rPr>
              <w:t>份、副本</w:t>
            </w:r>
            <w:r>
              <w:rPr>
                <w:spacing w:val="0"/>
                <w:sz w:val="24"/>
                <w:szCs w:val="24"/>
              </w:rPr>
              <w:t>1</w:t>
            </w:r>
            <w:r>
              <w:rPr>
                <w:rFonts w:hint="eastAsia" w:ascii="宋体" w:hAnsi="宋体" w:eastAsia="宋体" w:cs="宋体"/>
                <w:spacing w:val="0"/>
                <w:sz w:val="24"/>
                <w:szCs w:val="24"/>
              </w:rPr>
              <w:t>份。</w:t>
            </w:r>
          </w:p>
          <w:p>
            <w:pPr>
              <w:pStyle w:val="7"/>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份：将上传至福建省政府采购网上公开信息系统的电子响应文件在可读介质中另存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w:t>
            </w:r>
            <w:r>
              <w:rPr>
                <w:rFonts w:ascii="Calibri" w:hAnsi="Calibri" w:cs="Calibri"/>
                <w:spacing w:val="0"/>
                <w:sz w:val="24"/>
                <w:szCs w:val="24"/>
              </w:rPr>
              <w:t>2</w:t>
            </w:r>
            <w:r>
              <w:rPr>
                <w:rFonts w:hint="eastAsia" w:ascii="宋体" w:hAnsi="宋体" w:eastAsia="宋体" w:cs="宋体"/>
                <w:spacing w:val="0"/>
                <w:sz w:val="24"/>
                <w:szCs w:val="24"/>
              </w:rPr>
              <w:t>）电子响应文件：详见表</w:t>
            </w:r>
            <w:r>
              <w:rPr>
                <w:rFonts w:hint="default" w:ascii="Calibri" w:hAnsi="Calibri" w:cs="Calibri"/>
                <w:spacing w:val="0"/>
                <w:sz w:val="24"/>
                <w:szCs w:val="24"/>
              </w:rPr>
              <w:t>2</w:t>
            </w:r>
            <w:r>
              <w:rPr>
                <w:rFonts w:hint="eastAsia" w:ascii="宋体" w:hAnsi="宋体" w:eastAsia="宋体" w:cs="宋体"/>
                <w:spacing w:val="0"/>
                <w:sz w:val="24"/>
                <w:szCs w:val="24"/>
              </w:rPr>
              <w:t>《关于电子竞争性谈判活动的专门规定》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14.4</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谈判过程中可能发生实质性变动的内容：</w:t>
            </w:r>
          </w:p>
          <w:p>
            <w:pPr>
              <w:pStyle w:val="7"/>
              <w:keepNext w:val="0"/>
              <w:keepLines w:val="0"/>
              <w:widowControl/>
              <w:suppressLineNumbers w:val="0"/>
              <w:spacing w:before="0" w:beforeAutospacing="0" w:after="0" w:afterAutospacing="0" w:line="435" w:lineRule="atLeast"/>
              <w:ind w:left="0" w:right="0"/>
            </w:pPr>
            <w:r>
              <w:rPr>
                <w:spacing w:val="0"/>
                <w:sz w:val="24"/>
                <w:szCs w:val="24"/>
              </w:rPr>
              <w:t>无。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22.2</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7"/>
              <w:keepNext w:val="0"/>
              <w:keepLines w:val="0"/>
              <w:widowControl/>
              <w:suppressLineNumbers w:val="0"/>
              <w:wordWrap w:val="0"/>
              <w:spacing w:before="0" w:beforeAutospacing="0" w:after="0" w:afterAutospacing="0" w:line="435" w:lineRule="atLeast"/>
              <w:ind w:left="0" w:right="0"/>
            </w:pPr>
            <w:r>
              <w:rPr>
                <w:rStyle w:val="10"/>
                <w:rFonts w:hint="eastAsia" w:ascii="宋体" w:hAnsi="宋体" w:eastAsia="宋体" w:cs="宋体"/>
                <w:b/>
                <w:spacing w:val="0"/>
                <w:sz w:val="24"/>
                <w:szCs w:val="24"/>
              </w:rPr>
              <w:t>信息公告指定媒体（以下简称：“指定媒体”）：</w:t>
            </w:r>
          </w:p>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(1)中国政府采购网，网址www.ccgp.gov.cn</w:t>
            </w:r>
            <w:r>
              <w:t>。</w:t>
            </w:r>
            <w:r>
              <w:rPr>
                <w:spacing w:val="0"/>
                <w:sz w:val="24"/>
                <w:szCs w:val="24"/>
              </w:rPr>
              <w:br w:type="textWrapping"/>
            </w:r>
            <w:r>
              <w:rPr>
                <w:rFonts w:hint="eastAsia" w:ascii="宋体" w:hAnsi="宋体" w:eastAsia="宋体" w:cs="宋体"/>
                <w:spacing w:val="0"/>
                <w:sz w:val="24"/>
                <w:szCs w:val="24"/>
              </w:rPr>
              <w:t>(2)中国政府采购网福建分网（福建省政府采购网），网址zfcg.czt.fujian.gov.cn</w:t>
            </w:r>
            <w:r>
              <w:t>。</w:t>
            </w:r>
          </w:p>
          <w:p>
            <w:pPr>
              <w:pStyle w:val="7"/>
              <w:keepNext w:val="0"/>
              <w:keepLines w:val="0"/>
              <w:widowControl/>
              <w:suppressLineNumbers w:val="0"/>
              <w:wordWrap w:val="0"/>
              <w:spacing w:before="0" w:beforeAutospacing="0" w:after="0" w:afterAutospacing="0" w:line="435" w:lineRule="atLeast"/>
              <w:ind w:left="0" w:right="0"/>
            </w:pPr>
            <w:r>
              <w:rPr>
                <w:rStyle w:val="10"/>
                <w:rFonts w:hint="eastAsia" w:ascii="宋体" w:hAnsi="宋体" w:eastAsia="宋体" w:cs="宋体"/>
                <w:b/>
                <w:spacing w:val="0"/>
                <w:sz w:val="24"/>
                <w:szCs w:val="24"/>
              </w:rPr>
              <w:t>※上述指定媒体的有关信息若不一致，应以中国政府采购网福建分网（福建省政府采购网）发布的为准。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23.1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spacing w:val="0"/>
                <w:sz w:val="24"/>
                <w:szCs w:val="24"/>
              </w:rPr>
              <w:t>本项目监督管理部门：</w:t>
            </w:r>
          </w:p>
          <w:p>
            <w:pPr>
              <w:pStyle w:val="7"/>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福建省财政厅。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7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24.1</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pPr>
            <w:r>
              <w:rPr>
                <w:rStyle w:val="10"/>
                <w:rFonts w:hint="eastAsia" w:ascii="宋体" w:hAnsi="宋体" w:eastAsia="宋体" w:cs="宋体"/>
                <w:b/>
                <w:spacing w:val="0"/>
                <w:sz w:val="24"/>
                <w:szCs w:val="24"/>
              </w:rPr>
              <w:t>履约保证金：</w:t>
            </w:r>
          </w:p>
          <w:tbl>
            <w:tblPr>
              <w:tblStyle w:val="8"/>
              <w:tblW w:w="6961"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5"/>
              <w:gridCol w:w="1719"/>
              <w:gridCol w:w="44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60" w:hRule="atLeast"/>
                <w:tblHeader/>
              </w:trPr>
              <w:tc>
                <w:tcPr>
                  <w:tcW w:w="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包号</w:t>
                  </w:r>
                </w:p>
              </w:tc>
              <w:tc>
                <w:tcPr>
                  <w:tcW w:w="1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履约保证金比例</w:t>
                  </w:r>
                </w:p>
              </w:tc>
              <w:tc>
                <w:tcPr>
                  <w:tcW w:w="44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7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7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w:t>
                  </w:r>
                </w:p>
              </w:tc>
              <w:tc>
                <w:tcPr>
                  <w:tcW w:w="445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pPr>
                  <w:r>
                    <w:rPr>
                      <w:rStyle w:val="10"/>
                      <w:rFonts w:hint="eastAsia" w:ascii="宋体" w:hAnsi="宋体" w:eastAsia="宋体" w:cs="宋体"/>
                      <w:spacing w:val="0"/>
                      <w:sz w:val="24"/>
                      <w:szCs w:val="24"/>
                    </w:rPr>
                    <w:t>签订合同前，</w:t>
                  </w:r>
                  <w:r>
                    <w:rPr>
                      <w:rStyle w:val="10"/>
                      <w:rFonts w:hint="eastAsia" w:ascii="宋体" w:hAnsi="宋体" w:eastAsia="宋体" w:cs="宋体"/>
                      <w:spacing w:val="0"/>
                      <w:sz w:val="24"/>
                      <w:szCs w:val="24"/>
                      <w:lang w:val="en-US" w:eastAsia="zh-CN"/>
                    </w:rPr>
                    <w:t>成交人</w:t>
                  </w:r>
                  <w:r>
                    <w:rPr>
                      <w:rStyle w:val="10"/>
                      <w:rFonts w:hint="eastAsia" w:ascii="宋体" w:hAnsi="宋体" w:eastAsia="宋体" w:cs="宋体"/>
                      <w:spacing w:val="0"/>
                      <w:sz w:val="24"/>
                      <w:szCs w:val="24"/>
                    </w:rPr>
                    <w:t>需缴纳成交总价的</w:t>
                  </w:r>
                  <w:r>
                    <w:rPr>
                      <w:rStyle w:val="10"/>
                      <w:rFonts w:hint="eastAsia" w:ascii="宋体" w:hAnsi="宋体" w:eastAsia="宋体" w:cs="宋体"/>
                      <w:spacing w:val="0"/>
                      <w:sz w:val="24"/>
                      <w:szCs w:val="24"/>
                      <w:lang w:val="en-US" w:eastAsia="zh-CN"/>
                    </w:rPr>
                    <w:t>5</w:t>
                  </w:r>
                  <w:r>
                    <w:rPr>
                      <w:rStyle w:val="10"/>
                      <w:rFonts w:hint="eastAsia" w:ascii="宋体" w:hAnsi="宋体" w:eastAsia="宋体" w:cs="宋体"/>
                      <w:spacing w:val="0"/>
                      <w:sz w:val="24"/>
                      <w:szCs w:val="24"/>
                    </w:rPr>
                    <w:t>%履约保证金。履约保证金缴纳后，合同方可生效。该履约保证金在项目验收合格后转为质量保证金。项目验收合格1年后，成交人完整履行采购合同，无合同条款所规定的未了事件，并由使用部门确认无质量问题后，则以银行转账方式无息退还给成交人。</w:t>
                  </w:r>
                </w:p>
              </w:tc>
            </w:tr>
          </w:tbl>
          <w:p>
            <w:pPr>
              <w:pStyle w:val="7"/>
              <w:keepNext w:val="0"/>
              <w:keepLines w:val="0"/>
              <w:widowControl/>
              <w:suppressLineNumbers w:val="0"/>
              <w:spacing w:before="0" w:beforeAutospacing="0" w:after="0" w:afterAutospacing="0" w:line="435" w:lineRule="atLeast"/>
              <w:ind w:left="0" w:right="0"/>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05" w:hRule="atLeast"/>
        </w:trPr>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11</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25</w:t>
            </w: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435" w:lineRule="atLeast"/>
              <w:ind w:left="0" w:right="0"/>
            </w:pPr>
            <w:r>
              <w:rPr>
                <w:rStyle w:val="10"/>
                <w:rFonts w:hint="eastAsia" w:ascii="宋体" w:hAnsi="宋体" w:eastAsia="宋体" w:cs="宋体"/>
                <w:b/>
                <w:spacing w:val="0"/>
                <w:sz w:val="24"/>
                <w:szCs w:val="24"/>
              </w:rPr>
              <w:t>根据采购项目特点或政策需要补充的其他新增内容：</w:t>
            </w:r>
          </w:p>
          <w:p>
            <w:pPr>
              <w:pStyle w:val="7"/>
              <w:keepNext w:val="0"/>
              <w:keepLines w:val="0"/>
              <w:widowControl/>
              <w:numPr>
                <w:ilvl w:val="0"/>
                <w:numId w:val="1"/>
              </w:numPr>
              <w:suppressLineNumbers w:val="0"/>
              <w:wordWrap w:val="0"/>
              <w:spacing w:before="0" w:beforeAutospacing="0" w:after="0" w:afterAutospacing="0" w:line="435" w:lineRule="atLeast"/>
              <w:ind w:left="0" w:right="0"/>
            </w:pPr>
            <w:r>
              <w:rPr>
                <w:rStyle w:val="10"/>
                <w:rFonts w:hint="eastAsia" w:ascii="宋体" w:hAnsi="宋体" w:eastAsia="宋体" w:cs="宋体"/>
                <w:b/>
                <w:spacing w:val="0"/>
                <w:sz w:val="24"/>
                <w:szCs w:val="24"/>
              </w:rPr>
              <w:t>本项目代理服务费由</w:t>
            </w:r>
            <w:r>
              <w:rPr>
                <w:rFonts w:hint="eastAsia" w:ascii="宋体" w:hAnsi="宋体" w:eastAsia="宋体" w:cs="宋体"/>
                <w:b/>
                <w:spacing w:val="0"/>
                <w:sz w:val="24"/>
                <w:szCs w:val="24"/>
              </w:rPr>
              <w:t>成交人</w:t>
            </w:r>
            <w:r>
              <w:rPr>
                <w:rStyle w:val="10"/>
                <w:rFonts w:hint="eastAsia" w:ascii="宋体" w:hAnsi="宋体" w:eastAsia="宋体" w:cs="宋体"/>
                <w:b/>
                <w:spacing w:val="0"/>
                <w:sz w:val="24"/>
                <w:szCs w:val="24"/>
              </w:rPr>
              <w:t>支付。</w:t>
            </w:r>
            <w:r>
              <w:rPr>
                <w:rStyle w:val="10"/>
                <w:rFonts w:hint="eastAsia" w:ascii="宋体" w:hAnsi="宋体" w:eastAsia="宋体" w:cs="宋体"/>
                <w:b/>
                <w:spacing w:val="0"/>
                <w:sz w:val="24"/>
                <w:szCs w:val="24"/>
              </w:rPr>
              <w:br w:type="textWrapping"/>
            </w:r>
            <w:r>
              <w:rPr>
                <w:rStyle w:val="10"/>
                <w:rFonts w:hint="eastAsia" w:ascii="宋体" w:hAnsi="宋体" w:eastAsia="宋体" w:cs="宋体"/>
                <w:b/>
                <w:spacing w:val="0"/>
                <w:sz w:val="24"/>
                <w:szCs w:val="24"/>
              </w:rPr>
              <w:t>(2)其他：</w:t>
            </w:r>
            <w:r>
              <w:rPr>
                <w:rFonts w:hint="eastAsia" w:ascii="宋体" w:hAnsi="宋体" w:eastAsia="宋体" w:cs="宋体"/>
                <w:b/>
                <w:spacing w:val="0"/>
                <w:sz w:val="24"/>
                <w:szCs w:val="24"/>
              </w:rPr>
              <w:t>（一）代理服务费收费标准：①以项目的成交价作为计算基数。 ②按照闽狱采购【2018】3号文件计算，即50万以下按照1%收取。③代理服务费的交纳方式：代理服务费由成交供应商在代理机构发布成交公告后5个工作日内支付代理服务费，代理服务费以银行转账或现金等付款方式。 （二）潜在供应商提交质疑书的补充材料：提供谈判文件首次下载时间证明材料（首次下载之日以福建省政府采购网</w:t>
            </w:r>
            <w:r>
              <w:rPr>
                <w:rFonts w:hint="eastAsia" w:ascii="宋体" w:hAnsi="宋体" w:eastAsia="宋体" w:cs="宋体"/>
                <w:b/>
                <w:spacing w:val="0"/>
                <w:sz w:val="24"/>
                <w:szCs w:val="24"/>
                <w:highlight w:val="none"/>
              </w:rPr>
              <w:t>上公开信息系统报名信息记载的为准），供应商需在法定质疑期内一次性提出针对同一采购程序环节质疑，否则重复提交的质疑函将不予接收。（三）节能产品、环境标志产品：</w:t>
            </w:r>
            <w:r>
              <w:rPr>
                <w:rFonts w:hint="eastAsia" w:ascii="宋体" w:hAnsi="宋体" w:eastAsia="宋体" w:cs="宋体"/>
                <w:b/>
                <w:spacing w:val="0"/>
                <w:sz w:val="24"/>
                <w:szCs w:val="24"/>
                <w:highlight w:val="none"/>
                <w:lang w:val="en-US" w:eastAsia="zh-CN"/>
              </w:rPr>
              <w:t>供应商</w:t>
            </w:r>
            <w:r>
              <w:rPr>
                <w:rFonts w:hint="eastAsia" w:ascii="宋体" w:hAnsi="宋体" w:eastAsia="宋体" w:cs="宋体"/>
                <w:b/>
                <w:spacing w:val="0"/>
                <w:sz w:val="24"/>
                <w:szCs w:val="24"/>
                <w:highlight w:val="none"/>
              </w:rPr>
              <w:t>在</w:t>
            </w:r>
            <w:r>
              <w:rPr>
                <w:rFonts w:hint="eastAsia" w:ascii="宋体" w:hAnsi="宋体" w:eastAsia="宋体" w:cs="宋体"/>
                <w:b/>
                <w:spacing w:val="0"/>
                <w:sz w:val="24"/>
                <w:szCs w:val="24"/>
                <w:highlight w:val="none"/>
                <w:lang w:val="en-US" w:eastAsia="zh-CN"/>
              </w:rPr>
              <w:t>响应</w:t>
            </w:r>
            <w:r>
              <w:rPr>
                <w:rFonts w:hint="eastAsia" w:ascii="宋体" w:hAnsi="宋体" w:eastAsia="宋体" w:cs="宋体"/>
                <w:b/>
                <w:spacing w:val="0"/>
                <w:sz w:val="24"/>
                <w:szCs w:val="24"/>
                <w:highlight w:val="none"/>
              </w:rPr>
              <w:t>时必须对属于节能、减排、环境标志产品单独在加分表中填写，并提供产品的证明资料复印件加盖</w:t>
            </w:r>
            <w:r>
              <w:rPr>
                <w:rFonts w:hint="eastAsia" w:ascii="宋体" w:hAnsi="宋体" w:eastAsia="宋体" w:cs="宋体"/>
                <w:b/>
                <w:spacing w:val="0"/>
                <w:sz w:val="24"/>
                <w:szCs w:val="24"/>
                <w:highlight w:val="none"/>
                <w:lang w:val="en-US" w:eastAsia="zh-CN"/>
              </w:rPr>
              <w:t>供应商</w:t>
            </w:r>
            <w:r>
              <w:rPr>
                <w:rFonts w:hint="eastAsia" w:ascii="宋体" w:hAnsi="宋体" w:eastAsia="宋体" w:cs="宋体"/>
                <w:b/>
                <w:spacing w:val="0"/>
                <w:sz w:val="24"/>
                <w:szCs w:val="24"/>
                <w:highlight w:val="none"/>
              </w:rPr>
              <w:t>公章。未单独分项报价或未提供产品的证明资料的不给予加分。</w:t>
            </w:r>
            <w:r>
              <w:rPr>
                <w:rFonts w:hint="eastAsia" w:ascii="宋体" w:hAnsi="宋体" w:eastAsia="宋体" w:cs="宋体"/>
                <w:b/>
                <w:spacing w:val="0"/>
                <w:sz w:val="24"/>
                <w:szCs w:val="24"/>
                <w:highlight w:val="none"/>
                <w:lang w:val="en-US" w:eastAsia="zh-CN"/>
              </w:rPr>
              <w:t>响应</w:t>
            </w:r>
            <w:r>
              <w:rPr>
                <w:rFonts w:hint="eastAsia" w:ascii="宋体" w:hAnsi="宋体" w:eastAsia="宋体" w:cs="宋体"/>
                <w:b/>
                <w:spacing w:val="0"/>
                <w:sz w:val="24"/>
                <w:szCs w:val="24"/>
                <w:highlight w:val="none"/>
              </w:rPr>
              <w:t>产品属于节能、减排、环境标志清单内产品的，可享受相关的鼓励优惠政策；评审委员会审查此项响应性只根据</w:t>
            </w:r>
            <w:r>
              <w:rPr>
                <w:rFonts w:hint="eastAsia" w:ascii="宋体" w:hAnsi="宋体" w:eastAsia="宋体" w:cs="宋体"/>
                <w:b/>
                <w:spacing w:val="0"/>
                <w:sz w:val="24"/>
                <w:szCs w:val="24"/>
                <w:highlight w:val="none"/>
                <w:lang w:val="en-US" w:eastAsia="zh-CN"/>
              </w:rPr>
              <w:t>响应</w:t>
            </w:r>
            <w:r>
              <w:rPr>
                <w:rFonts w:hint="eastAsia" w:ascii="宋体" w:hAnsi="宋体" w:eastAsia="宋体" w:cs="宋体"/>
                <w:b/>
                <w:spacing w:val="0"/>
                <w:sz w:val="24"/>
                <w:szCs w:val="24"/>
                <w:highlight w:val="none"/>
              </w:rPr>
              <w:t>文件本身的内容，而不寻求其他的外部证据。</w:t>
            </w:r>
            <w:r>
              <w:rPr>
                <w:rFonts w:hint="eastAsia" w:ascii="宋体" w:hAnsi="宋体" w:eastAsia="宋体" w:cs="宋体"/>
                <w:b/>
                <w:spacing w:val="0"/>
                <w:sz w:val="24"/>
                <w:szCs w:val="24"/>
                <w:highlight w:val="none"/>
                <w:lang w:eastAsia="zh-CN"/>
              </w:rPr>
              <w:t>（</w:t>
            </w:r>
            <w:r>
              <w:rPr>
                <w:rFonts w:hint="eastAsia" w:ascii="宋体" w:hAnsi="宋体" w:eastAsia="宋体" w:cs="宋体"/>
                <w:b/>
                <w:spacing w:val="0"/>
                <w:sz w:val="24"/>
                <w:szCs w:val="24"/>
                <w:highlight w:val="none"/>
                <w:lang w:val="en-US" w:eastAsia="zh-CN"/>
              </w:rPr>
              <w:t>四</w:t>
            </w:r>
            <w:r>
              <w:rPr>
                <w:rFonts w:hint="eastAsia" w:ascii="宋体" w:hAnsi="宋体" w:eastAsia="宋体" w:cs="宋体"/>
                <w:b/>
                <w:spacing w:val="0"/>
                <w:sz w:val="24"/>
                <w:szCs w:val="24"/>
                <w:highlight w:val="none"/>
                <w:lang w:eastAsia="zh-CN"/>
              </w:rPr>
              <w:t>）</w:t>
            </w:r>
            <w:r>
              <w:rPr>
                <w:rFonts w:hint="eastAsia" w:ascii="宋体" w:hAnsi="宋体" w:eastAsia="宋体" w:cs="宋体"/>
                <w:b/>
                <w:spacing w:val="0"/>
                <w:sz w:val="24"/>
                <w:szCs w:val="24"/>
                <w:highlight w:val="none"/>
              </w:rPr>
              <w:t>无效标条款（响应无效、响应文件将被否决条款）：1、采购文件第一章采购公告/采</w:t>
            </w:r>
            <w:r>
              <w:rPr>
                <w:rFonts w:hint="eastAsia" w:ascii="宋体" w:hAnsi="宋体" w:eastAsia="宋体" w:cs="宋体"/>
                <w:b/>
                <w:spacing w:val="0"/>
                <w:sz w:val="24"/>
                <w:szCs w:val="24"/>
              </w:rPr>
              <w:t>购邀请书第5项（8）；2、第二章竞争性谈判须知表2的⑥、⑦、⑨、⑾、专项附件：第5.1.3项、第2节竞争性谈判须知：第3项、第7项、第9.1项、第10.2项、第12.2项、第14.2项、第14.8项。3、供应商出现 《福建省财政厅关于电子化政府采购项目中视为串标情形认定与处理的指导意见》（闽财购〔2018〕30号）文中规定的视为串标情形的，其响应文件无效。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494"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832"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p>
        </w:tc>
        <w:tc>
          <w:tcPr>
            <w:tcW w:w="719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r>
              <w:rPr>
                <w:rStyle w:val="10"/>
                <w:rFonts w:hint="eastAsia" w:ascii="宋体" w:hAnsi="宋体" w:eastAsia="宋体" w:cs="宋体"/>
                <w:b/>
                <w:spacing w:val="0"/>
                <w:kern w:val="0"/>
                <w:sz w:val="24"/>
                <w:szCs w:val="24"/>
                <w:lang w:val="en-US" w:eastAsia="zh-CN" w:bidi="ar"/>
              </w:rPr>
              <w:t>是否组织现场考察或召开开标前答疑会：否</w:t>
            </w:r>
            <w:r>
              <w:rPr>
                <w:rFonts w:hint="eastAsia" w:ascii="宋体" w:hAnsi="宋体" w:eastAsia="宋体" w:cs="宋体"/>
                <w:spacing w:val="0"/>
                <w:kern w:val="0"/>
                <w:sz w:val="24"/>
                <w:szCs w:val="24"/>
                <w:lang w:val="en-US" w:eastAsia="zh-CN" w:bidi="ar"/>
              </w:rPr>
              <w:t>。</w:t>
            </w:r>
          </w:p>
        </w:tc>
      </w:tr>
    </w:tbl>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表2</w:t>
      </w:r>
    </w:p>
    <w:tbl>
      <w:tblPr>
        <w:tblStyle w:val="8"/>
        <w:tblW w:w="8516"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70"/>
        <w:gridCol w:w="794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8516"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spacing w:val="0"/>
                <w:sz w:val="24"/>
                <w:szCs w:val="24"/>
              </w:rPr>
              <w:t>关于电子竞争性谈判活动的专门规定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7946"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7946"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1</w:t>
            </w:r>
            <w:r>
              <w:rPr>
                <w:rFonts w:hint="eastAsia" w:ascii="宋体" w:hAnsi="宋体" w:eastAsia="宋体" w:cs="宋体"/>
                <w:spacing w:val="0"/>
                <w:sz w:val="24"/>
                <w:szCs w:val="24"/>
              </w:rPr>
              <w:t>）谈判文件中除下述第（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）款所述之外的内容及其规定适用本项目的电子竞争性谈判活动。</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）将谈判文件</w:t>
            </w:r>
            <w:r>
              <w:rPr>
                <w:rFonts w:ascii="宋体" w:hAnsi="宋体" w:eastAsia="宋体" w:cs="宋体"/>
                <w:sz w:val="24"/>
                <w:szCs w:val="24"/>
                <w:u w:val="single"/>
              </w:rPr>
              <w:t>“第二章竞争性磋商须知”</w:t>
            </w:r>
            <w:r>
              <w:rPr>
                <w:rFonts w:ascii="宋体" w:hAnsi="宋体" w:eastAsia="宋体" w:cs="宋体"/>
                <w:kern w:val="0"/>
                <w:sz w:val="24"/>
                <w:szCs w:val="24"/>
                <w:u w:val="single"/>
                <w:lang w:val="en-US" w:eastAsia="zh-CN" w:bidi="ar"/>
              </w:rPr>
              <w:t>a4财务状况报告</w:t>
            </w:r>
            <w:r>
              <w:rPr>
                <w:rFonts w:hint="eastAsia" w:ascii="宋体" w:hAnsi="宋体" w:eastAsia="宋体" w:cs="宋体"/>
                <w:kern w:val="0"/>
                <w:sz w:val="24"/>
                <w:szCs w:val="24"/>
                <w:u w:val="single"/>
                <w:lang w:val="en-US" w:eastAsia="zh-CN" w:bidi="ar"/>
              </w:rPr>
              <w:t>：</w:t>
            </w:r>
            <w:r>
              <w:rPr>
                <w:rFonts w:ascii="宋体" w:hAnsi="宋体" w:eastAsia="宋体" w:cs="宋体"/>
                <w:kern w:val="0"/>
                <w:sz w:val="24"/>
                <w:szCs w:val="24"/>
                <w:u w:val="single"/>
                <w:lang w:val="en-US" w:eastAsia="zh-CN" w:bidi="ar"/>
              </w:rPr>
              <w:t>提供会计师事务所出具的上一年度或上一季度财务审计报告，至少包括“资产负债表、利润表、现金流量表”</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的内容</w:t>
            </w:r>
            <w:r>
              <w:rPr>
                <w:rStyle w:val="10"/>
                <w:rFonts w:hint="eastAsia" w:ascii="宋体" w:hAnsi="宋体" w:eastAsia="宋体" w:cs="宋体"/>
                <w:b/>
                <w:spacing w:val="0"/>
                <w:sz w:val="24"/>
                <w:szCs w:val="24"/>
              </w:rPr>
              <w:t>修正为</w:t>
            </w:r>
            <w:r>
              <w:rPr>
                <w:rFonts w:hint="eastAsia" w:ascii="宋体" w:hAnsi="宋体" w:eastAsia="宋体" w:cs="宋体"/>
                <w:spacing w:val="0"/>
                <w:sz w:val="24"/>
                <w:szCs w:val="24"/>
              </w:rPr>
              <w:t>下列内容：</w:t>
            </w:r>
            <w:r>
              <w:rPr>
                <w:rFonts w:ascii="宋体" w:hAnsi="宋体" w:eastAsia="宋体" w:cs="宋体"/>
                <w:sz w:val="24"/>
                <w:szCs w:val="24"/>
                <w:u w:val="single"/>
              </w:rPr>
              <w:t>提供会计师事务所出具的2020年</w:t>
            </w:r>
            <w:r>
              <w:rPr>
                <w:rFonts w:hint="eastAsia" w:ascii="宋体" w:hAnsi="宋体" w:eastAsia="宋体" w:cs="宋体"/>
                <w:sz w:val="24"/>
                <w:szCs w:val="24"/>
                <w:u w:val="single"/>
                <w:lang w:val="en-US" w:eastAsia="zh-CN"/>
              </w:rPr>
              <w:t>度</w:t>
            </w:r>
            <w:r>
              <w:rPr>
                <w:rFonts w:ascii="宋体" w:hAnsi="宋体" w:eastAsia="宋体" w:cs="宋体"/>
                <w:sz w:val="24"/>
                <w:szCs w:val="24"/>
                <w:u w:val="single"/>
              </w:rPr>
              <w:t>或2021年</w:t>
            </w:r>
            <w:r>
              <w:rPr>
                <w:rFonts w:hint="eastAsia" w:ascii="宋体" w:hAnsi="宋体" w:eastAsia="宋体" w:cs="宋体"/>
                <w:sz w:val="24"/>
                <w:szCs w:val="24"/>
                <w:u w:val="single"/>
                <w:lang w:val="en-US" w:eastAsia="zh-CN"/>
              </w:rPr>
              <w:t>度</w:t>
            </w:r>
            <w:r>
              <w:rPr>
                <w:rFonts w:ascii="宋体" w:hAnsi="宋体" w:eastAsia="宋体" w:cs="宋体"/>
                <w:sz w:val="24"/>
                <w:szCs w:val="24"/>
                <w:u w:val="single"/>
              </w:rPr>
              <w:t>或上一季度财务审计报告，至少包括“资产负债表、利润表、现金流量表”</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后适用本项目的电子竞争性谈判活动。</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）将下列内容</w:t>
            </w:r>
            <w:r>
              <w:rPr>
                <w:rStyle w:val="10"/>
                <w:rFonts w:hint="eastAsia" w:ascii="宋体" w:hAnsi="宋体" w:eastAsia="宋体" w:cs="宋体"/>
                <w:b/>
                <w:spacing w:val="0"/>
                <w:sz w:val="24"/>
                <w:szCs w:val="24"/>
              </w:rPr>
              <w:t>增列为</w:t>
            </w:r>
            <w:r>
              <w:rPr>
                <w:rFonts w:hint="eastAsia" w:ascii="宋体" w:hAnsi="宋体" w:eastAsia="宋体" w:cs="宋体"/>
                <w:spacing w:val="0"/>
                <w:sz w:val="24"/>
                <w:szCs w:val="24"/>
              </w:rPr>
              <w:t>谈判文件的组成部分（以下简称：“增列内容”）适用本项目的电子竞争性谈判活动，若增列内容与谈判文件其他章节内容不一致，应以增列内容为准：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①电子竞争性谈判活动的具体操作流程以福建省政府采购网上公开信息系统设定的为准。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②供应商应在首次响应文件递交截止时间前按照福建省政府采购网上公开信息系统设定的操作流程将电子响应文件</w:t>
            </w:r>
            <w:r>
              <w:rPr>
                <w:rStyle w:val="10"/>
                <w:rFonts w:hint="eastAsia" w:ascii="宋体" w:hAnsi="宋体" w:eastAsia="宋体" w:cs="宋体"/>
                <w:b/>
                <w:spacing w:val="0"/>
                <w:sz w:val="24"/>
                <w:szCs w:val="24"/>
              </w:rPr>
              <w:t>1</w:t>
            </w:r>
            <w:r>
              <w:rPr>
                <w:rFonts w:hint="eastAsia" w:ascii="宋体" w:hAnsi="宋体" w:eastAsia="宋体" w:cs="宋体"/>
                <w:spacing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③若出现福建省政府采购网上公开信息系统设定的意外情形（如：系统故障等），经本项目监督管理部门同意使用纸质响应文件的，应以纸质响应文件为准。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⑤供应商应按照福建省政府采购网上公开信息系统要求的评审节点编制电子响应文件，否则</w:t>
            </w:r>
            <w:r>
              <w:rPr>
                <w:rStyle w:val="10"/>
                <w:rFonts w:hint="eastAsia" w:ascii="宋体" w:hAnsi="宋体" w:eastAsia="宋体" w:cs="宋体"/>
                <w:b/>
                <w:spacing w:val="0"/>
                <w:sz w:val="24"/>
                <w:szCs w:val="24"/>
              </w:rPr>
              <w:t>谈判小组将按照不利于供应商的内容进行认定</w:t>
            </w:r>
            <w:r>
              <w:rPr>
                <w:rFonts w:hint="eastAsia" w:ascii="宋体" w:hAnsi="宋体" w:eastAsia="宋体" w:cs="宋体"/>
                <w:spacing w:val="0"/>
                <w:sz w:val="24"/>
                <w:szCs w:val="24"/>
              </w:rPr>
              <w:t>。</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⑥关于证明材料或资料：</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a.谈判文件要求原件的，供应商在电子响应文件中可提供复印件或扫描件，但在纸质响应文件正本中应提供原件</w:t>
            </w:r>
            <w:r>
              <w:rPr>
                <w:rStyle w:val="10"/>
                <w:rFonts w:hint="eastAsia" w:ascii="宋体" w:hAnsi="宋体" w:eastAsia="宋体" w:cs="宋体"/>
                <w:b/>
                <w:spacing w:val="0"/>
                <w:sz w:val="24"/>
                <w:szCs w:val="24"/>
              </w:rPr>
              <w:t>（谈判小组将核对纸质响应文件正本，未提供原件的证明材料或资料将被视为无效）</w:t>
            </w:r>
            <w:r>
              <w:rPr>
                <w:rFonts w:hint="eastAsia" w:ascii="宋体" w:hAnsi="宋体" w:eastAsia="宋体" w:cs="宋体"/>
                <w:spacing w:val="0"/>
                <w:sz w:val="24"/>
                <w:szCs w:val="24"/>
              </w:rPr>
              <w:t>；谈判文件要求复印件的，供应商在纸质响应文件中提供原件、复印件、扫描件皆可；谈判文件对原件、复印件未作要求的，供应商在纸质响应文件中提供原件、复印件、扫描件皆可。</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b.除本增列内容第⑥点第</w:t>
            </w:r>
            <w:r>
              <w:rPr>
                <w:rFonts w:hint="default" w:ascii="Calibri" w:hAnsi="Calibri" w:cs="Calibri"/>
                <w:spacing w:val="0"/>
                <w:sz w:val="24"/>
                <w:szCs w:val="24"/>
              </w:rPr>
              <w:t>c</w:t>
            </w:r>
            <w:r>
              <w:rPr>
                <w:rFonts w:hint="eastAsia" w:ascii="宋体" w:hAnsi="宋体" w:eastAsia="宋体" w:cs="宋体"/>
                <w:spacing w:val="0"/>
                <w:sz w:val="24"/>
                <w:szCs w:val="24"/>
              </w:rPr>
              <w:t>项规定情形外，若供应商提供注明“复印件无效”的证明材料或资料，其纸质响应文件正本中应提供原件</w:t>
            </w:r>
            <w:r>
              <w:rPr>
                <w:rStyle w:val="10"/>
                <w:rFonts w:hint="eastAsia" w:ascii="宋体" w:hAnsi="宋体" w:eastAsia="宋体" w:cs="宋体"/>
                <w:b/>
                <w:spacing w:val="0"/>
                <w:sz w:val="24"/>
                <w:szCs w:val="24"/>
              </w:rPr>
              <w:t>（谈判小组将核对纸质响应文件正本，未提供原件的证明材料或资料将被视为无效）。</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c.有效期内的《检察机关行贿犯罪档案查询结果告知函》复印件，无论内容中是否注明“复印件无效”，均视同有效。</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d.供应商为非自然人的，应在纸质响应文件正本中提供“单位负责人授权书”原件；联合体形式的供应商，应在纸质响应文件正本中提供“联合体协议”原件，否则</w:t>
            </w:r>
            <w:r>
              <w:rPr>
                <w:rStyle w:val="10"/>
                <w:rFonts w:hint="eastAsia" w:ascii="宋体" w:hAnsi="宋体" w:eastAsia="宋体" w:cs="宋体"/>
                <w:b/>
                <w:spacing w:val="0"/>
                <w:sz w:val="24"/>
                <w:szCs w:val="24"/>
              </w:rPr>
              <w:t>视为未按照谈判文件规定提交供应商的资格及资信文件</w:t>
            </w:r>
            <w:r>
              <w:rPr>
                <w:rFonts w:hint="eastAsia" w:ascii="宋体" w:hAnsi="宋体" w:eastAsia="宋体" w:cs="宋体"/>
                <w:spacing w:val="0"/>
                <w:sz w:val="24"/>
                <w:szCs w:val="24"/>
              </w:rPr>
              <w:t>。此项审查谈判小组将核对纸质响应文件正本，并以纸质响应文件为准。</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⑦关于“全称”、“供应商代表签字”及“加盖单位公章”：</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a.在电子响应文件中，涉及“全称”和“供应商代表签字”的内容可使用打字录入方式完成。</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b.在电子响应文件中，涉及“加盖单位公章”的内容应使用供应商的</w:t>
            </w:r>
            <w:r>
              <w:rPr>
                <w:rFonts w:hint="default" w:ascii="Calibri" w:hAnsi="Calibri" w:cs="Calibri"/>
                <w:spacing w:val="0"/>
                <w:sz w:val="24"/>
                <w:szCs w:val="24"/>
              </w:rPr>
              <w:t>CA</w:t>
            </w:r>
            <w:r>
              <w:rPr>
                <w:rFonts w:hint="eastAsia" w:ascii="宋体" w:hAnsi="宋体" w:eastAsia="宋体" w:cs="宋体"/>
                <w:spacing w:val="0"/>
                <w:sz w:val="24"/>
                <w:szCs w:val="24"/>
              </w:rPr>
              <w:t>证书完成加盖电子印章，否则</w:t>
            </w:r>
            <w:r>
              <w:rPr>
                <w:rStyle w:val="10"/>
                <w:rFonts w:hint="eastAsia" w:ascii="宋体" w:hAnsi="宋体" w:eastAsia="宋体" w:cs="宋体"/>
                <w:b/>
                <w:spacing w:val="0"/>
                <w:sz w:val="24"/>
                <w:szCs w:val="24"/>
              </w:rPr>
              <w:t>该响应文件无效，相应供应商的谈判将被否决。</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c.在电子响应文件中，若供应商按照本增列内容第⑦点第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项规定加盖其单位电子印章，则出现无全称、供应商代表未签字等情形，</w:t>
            </w:r>
            <w:r>
              <w:rPr>
                <w:rStyle w:val="10"/>
                <w:rFonts w:hint="eastAsia" w:ascii="宋体" w:hAnsi="宋体" w:eastAsia="宋体" w:cs="宋体"/>
                <w:b/>
                <w:spacing w:val="0"/>
                <w:sz w:val="24"/>
                <w:szCs w:val="24"/>
              </w:rPr>
              <w:t>不视为该响应文件无效。</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⑧谈判文件接受联合体方式且供应商为联合体的，供应商应以“联合体牵头方”完成电子响应的有关操作（包括但不限于：报名、提交谈判保证金、编制电子响应文件等）。</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⑨</w:t>
            </w:r>
            <w:r>
              <w:rPr>
                <w:rStyle w:val="10"/>
                <w:rFonts w:hint="eastAsia" w:ascii="宋体" w:hAnsi="宋体" w:eastAsia="宋体" w:cs="宋体"/>
                <w:b/>
                <w:spacing w:val="0"/>
                <w:sz w:val="24"/>
                <w:szCs w:val="24"/>
              </w:rPr>
              <w:t>参加谈判活动的供应商代表务必携带供应商的CA证书</w:t>
            </w:r>
            <w:r>
              <w:rPr>
                <w:rFonts w:hint="eastAsia" w:ascii="宋体" w:hAnsi="宋体" w:eastAsia="宋体" w:cs="宋体"/>
                <w:spacing w:val="0"/>
                <w:sz w:val="24"/>
                <w:szCs w:val="24"/>
              </w:rPr>
              <w:t>。</w:t>
            </w:r>
            <w:r>
              <w:rPr>
                <w:rStyle w:val="10"/>
                <w:rFonts w:hint="eastAsia" w:ascii="宋体" w:hAnsi="宋体" w:eastAsia="宋体" w:cs="宋体"/>
                <w:b/>
                <w:spacing w:val="0"/>
                <w:sz w:val="24"/>
                <w:szCs w:val="24"/>
              </w:rPr>
              <w:t>因未携带CA证书或者福建省政府采购网上公开信息系统平台显示相关供应商未提交谈判保证金或者供应商仅提交电子响应文件但未提交相对应纸质响应文件的，均视同为该供应商未按照要求提交响应文件，其相应的响应文件将被视为无效且被拒绝。</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pPr>
            <w:r>
              <w:rPr>
                <w:rFonts w:hint="eastAsia" w:ascii="宋体" w:hAnsi="宋体" w:eastAsia="宋体" w:cs="宋体"/>
                <w:spacing w:val="0"/>
              </w:rPr>
              <w:t>⑾关于首次</w:t>
            </w:r>
            <w:r>
              <w:rPr>
                <w:rFonts w:hint="eastAsia" w:ascii="宋体" w:hAnsi="宋体" w:eastAsia="宋体" w:cs="宋体"/>
              </w:rPr>
              <w:t>响应文件递交截止时间</w:t>
            </w:r>
            <w:r>
              <w:rPr>
                <w:rFonts w:hint="eastAsia" w:ascii="宋体" w:hAnsi="宋体" w:eastAsia="宋体" w:cs="宋体"/>
                <w:spacing w:val="0"/>
              </w:rPr>
              <w:t>过后</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a.被福建省政府采购网上公开信息系统判定为报价保证金未提交（即未于首次响应文件递交截止时间前到谈判文件载明的报价保证金账户）的供应商，</w:t>
            </w:r>
            <w:r>
              <w:rPr>
                <w:rStyle w:val="10"/>
                <w:rFonts w:hint="eastAsia" w:ascii="宋体" w:hAnsi="宋体" w:eastAsia="宋体" w:cs="宋体"/>
                <w:b/>
                <w:spacing w:val="0"/>
              </w:rPr>
              <w:t>该响应文件无效，相应供应商的谈判将被否决。</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b.有下列情形之一的，</w:t>
            </w:r>
            <w:r>
              <w:rPr>
                <w:rStyle w:val="10"/>
                <w:rFonts w:hint="eastAsia" w:ascii="宋体" w:hAnsi="宋体" w:eastAsia="宋体" w:cs="宋体"/>
                <w:b/>
                <w:spacing w:val="0"/>
              </w:rPr>
              <w:t>该响应文件无效，相应供应商的谈判将被否决,</w:t>
            </w:r>
            <w:r>
              <w:rPr>
                <w:rFonts w:hint="eastAsia" w:ascii="宋体" w:hAnsi="宋体" w:eastAsia="宋体" w:cs="宋体"/>
                <w:spacing w:val="0"/>
              </w:rPr>
              <w:t>其保证金不予退还</w:t>
            </w:r>
            <w:r>
              <w:rPr>
                <w:rStyle w:val="10"/>
                <w:rFonts w:hint="eastAsia" w:ascii="宋体" w:hAnsi="宋体" w:eastAsia="宋体" w:cs="宋体"/>
                <w:b/>
                <w:spacing w:val="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b1不同供应商的电子响应文件被福建省政府采购网上公开信息系统判定为具有相同内部识别码；</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b2不同供应商的</w:t>
            </w:r>
            <w:r>
              <w:rPr>
                <w:rFonts w:hint="eastAsia" w:ascii="宋体" w:hAnsi="宋体" w:eastAsia="宋体" w:cs="宋体"/>
              </w:rPr>
              <w:t>报价保证金</w:t>
            </w:r>
            <w:r>
              <w:rPr>
                <w:rFonts w:hint="eastAsia" w:ascii="宋体" w:hAnsi="宋体" w:eastAsia="宋体" w:cs="宋体"/>
                <w:spacing w:val="0"/>
              </w:rPr>
              <w:t>被福建省政府采购网上公开信息系统判定为从同一单位或个人的账户转出；</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b3供应商的报价保证金被福建省政府采购网上公开信息系统判定为同一合同项下有其他供应商提交的报价保证金。</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(12)其他：</w:t>
            </w:r>
            <w:r>
              <w:rPr>
                <w:rFonts w:hint="eastAsia" w:ascii="宋体" w:hAnsi="宋体" w:eastAsia="宋体" w:cs="宋体"/>
                <w:b/>
                <w:spacing w:val="0"/>
                <w:sz w:val="24"/>
                <w:szCs w:val="24"/>
              </w:rPr>
              <w:t>供应商的供应商名称（系统注册名称）应与CA证书供应商名称、保证金来源账户名称、递交的纸质响应文件供应商名称保持一致，请供应商注意。</w:t>
            </w:r>
          </w:p>
          <w:p>
            <w:pPr>
              <w:pStyle w:val="7"/>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（与电子竞争性谈判活动有关的其他规定或补充内容可在此处填写）。</w:t>
            </w:r>
          </w:p>
        </w:tc>
      </w:tr>
    </w:tbl>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r>
        <w:rPr>
          <w:rStyle w:val="10"/>
          <w:rFonts w:hint="eastAsia" w:ascii="宋体" w:hAnsi="宋体" w:eastAsia="宋体" w:cs="宋体"/>
          <w:b/>
          <w:spacing w:val="0"/>
          <w:sz w:val="24"/>
          <w:szCs w:val="24"/>
        </w:rPr>
        <w:t>专项附件：       评定成交的标准和方法</w:t>
      </w:r>
    </w:p>
    <w:p>
      <w:pPr>
        <w:pStyle w:val="7"/>
        <w:keepNext w:val="0"/>
        <w:keepLines w:val="0"/>
        <w:widowControl/>
        <w:suppressLineNumbers w:val="0"/>
        <w:spacing w:before="75" w:beforeAutospacing="0" w:after="75" w:afterAutospacing="0" w:line="435" w:lineRule="atLeast"/>
        <w:ind w:left="0" w:right="0" w:firstLine="0"/>
        <w:jc w:val="both"/>
      </w:pPr>
      <w:r>
        <w:rPr>
          <w:rStyle w:val="10"/>
          <w:rFonts w:hint="eastAsia" w:ascii="宋体" w:hAnsi="宋体" w:eastAsia="宋体" w:cs="宋体"/>
          <w:b/>
          <w:spacing w:val="0"/>
          <w:sz w:val="24"/>
          <w:szCs w:val="24"/>
        </w:rPr>
        <w:t> </w:t>
      </w:r>
    </w:p>
    <w:p>
      <w:pPr>
        <w:pStyle w:val="7"/>
        <w:keepNext w:val="0"/>
        <w:keepLines w:val="0"/>
        <w:widowControl/>
        <w:numPr>
          <w:ilvl w:val="0"/>
          <w:numId w:val="2"/>
        </w:numPr>
        <w:suppressLineNumbers w:val="0"/>
        <w:spacing w:before="75" w:beforeAutospacing="0" w:after="75" w:afterAutospacing="0" w:line="405" w:lineRule="atLeast"/>
        <w:ind w:left="0" w:right="0" w:firstLine="0"/>
        <w:jc w:val="cente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t>谈判小组</w:t>
      </w:r>
    </w:p>
    <w:p>
      <w:pPr>
        <w:pStyle w:val="7"/>
        <w:keepNext w:val="0"/>
        <w:keepLines w:val="0"/>
        <w:widowControl/>
        <w:numPr>
          <w:ilvl w:val="0"/>
          <w:numId w:val="0"/>
        </w:numPr>
        <w:suppressLineNumbers w:val="0"/>
        <w:spacing w:before="75" w:beforeAutospacing="0" w:after="75" w:afterAutospacing="0" w:line="405" w:lineRule="atLeast"/>
        <w:ind w:leftChars="0" w:right="0" w:rightChars="0"/>
        <w:jc w:val="both"/>
        <w:rPr>
          <w:rStyle w:val="10"/>
          <w:rFonts w:hint="eastAsia" w:ascii="宋体" w:hAnsi="宋体" w:eastAsia="宋体" w:cs="宋体"/>
          <w:b/>
          <w:spacing w:val="0"/>
          <w:sz w:val="24"/>
          <w:szCs w:val="24"/>
        </w:rPr>
      </w:pP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1.1采购人根据项目的特点依法组建谈判小组。</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1.2谈判小组由采购人代表和评审专家两部分（以下简称“评委”）共</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人由福建省政府采购评审专家库产生。达到公开招标数额标准的货物或者服务采购项目，或者达到招标规模标准的政府采购工程，竞争性谈判小组应当由5人或以上单数组成。</w:t>
      </w:r>
    </w:p>
    <w:p>
      <w:pPr>
        <w:pStyle w:val="7"/>
        <w:keepNext w:val="0"/>
        <w:keepLines w:val="0"/>
        <w:widowControl/>
        <w:suppressLineNumbers w:val="0"/>
        <w:spacing w:before="75" w:beforeAutospacing="0" w:after="75" w:afterAutospacing="0" w:line="405" w:lineRule="atLeast"/>
        <w:ind w:left="0" w:right="0" w:firstLine="513" w:firstLineChars="214"/>
      </w:pPr>
      <w:r>
        <w:rPr>
          <w:rFonts w:hint="eastAsia" w:ascii="宋体" w:hAnsi="宋体" w:eastAsia="宋体" w:cs="宋体"/>
          <w:spacing w:val="0"/>
          <w:sz w:val="24"/>
          <w:szCs w:val="24"/>
        </w:rPr>
        <w:t>1.3谈判小组负责具体谈判和评审事务，并按照下列原则依法独立履行有关职责：</w:t>
      </w:r>
    </w:p>
    <w:p>
      <w:pPr>
        <w:pStyle w:val="7"/>
        <w:keepNext w:val="0"/>
        <w:keepLines w:val="0"/>
        <w:widowControl/>
        <w:suppressLineNumbers w:val="0"/>
        <w:spacing w:before="75" w:beforeAutospacing="0" w:after="75" w:afterAutospacing="0" w:line="405" w:lineRule="atLeast"/>
        <w:ind w:right="0" w:firstLine="480" w:firstLineChars="200"/>
      </w:pPr>
      <w:r>
        <w:rPr>
          <w:rFonts w:hint="eastAsia" w:ascii="宋体" w:hAnsi="宋体" w:eastAsia="宋体" w:cs="宋体"/>
          <w:spacing w:val="0"/>
          <w:sz w:val="24"/>
          <w:szCs w:val="24"/>
        </w:rPr>
        <w:t>1.3.1评审应保护国家利益、社会公共利益和各方当事人合法权益，提高采购效益，保证项目质量。</w:t>
      </w:r>
    </w:p>
    <w:p>
      <w:pPr>
        <w:pStyle w:val="7"/>
        <w:keepNext w:val="0"/>
        <w:keepLines w:val="0"/>
        <w:widowControl/>
        <w:suppressLineNumbers w:val="0"/>
        <w:spacing w:before="75" w:beforeAutospacing="0" w:after="75" w:afterAutospacing="0" w:line="405" w:lineRule="atLeast"/>
        <w:ind w:right="0" w:firstLine="480" w:firstLineChars="200"/>
      </w:pPr>
      <w:r>
        <w:rPr>
          <w:rFonts w:hint="eastAsia" w:ascii="宋体" w:hAnsi="宋体" w:eastAsia="宋体" w:cs="宋体"/>
          <w:spacing w:val="0"/>
          <w:sz w:val="24"/>
          <w:szCs w:val="24"/>
        </w:rPr>
        <w:t>1.3.2评审应遵循公平、公正、科学、严谨和择优原则。</w:t>
      </w:r>
    </w:p>
    <w:p>
      <w:pPr>
        <w:pStyle w:val="7"/>
        <w:keepNext w:val="0"/>
        <w:keepLines w:val="0"/>
        <w:widowControl/>
        <w:suppressLineNumbers w:val="0"/>
        <w:spacing w:before="75" w:beforeAutospacing="0" w:after="75" w:afterAutospacing="0" w:line="405" w:lineRule="atLeast"/>
        <w:ind w:right="0" w:firstLine="480" w:firstLineChars="200"/>
      </w:pPr>
      <w:r>
        <w:rPr>
          <w:rFonts w:hint="eastAsia" w:ascii="宋体" w:hAnsi="宋体" w:eastAsia="宋体" w:cs="宋体"/>
          <w:spacing w:val="0"/>
          <w:sz w:val="24"/>
          <w:szCs w:val="24"/>
        </w:rPr>
        <w:t>1.3.3评审的依据是谈判文件和响应文件，谈判文件中没有规定的评审标准不得作为评审依据。</w:t>
      </w:r>
    </w:p>
    <w:p>
      <w:pPr>
        <w:pStyle w:val="7"/>
        <w:keepNext w:val="0"/>
        <w:keepLines w:val="0"/>
        <w:widowControl/>
        <w:suppressLineNumbers w:val="0"/>
        <w:spacing w:before="75" w:beforeAutospacing="0" w:after="75" w:afterAutospacing="0" w:line="405" w:lineRule="atLeast"/>
        <w:ind w:right="0" w:firstLine="480" w:firstLineChars="200"/>
      </w:pPr>
      <w:r>
        <w:rPr>
          <w:rFonts w:hint="eastAsia" w:ascii="宋体" w:hAnsi="宋体" w:eastAsia="宋体" w:cs="宋体"/>
          <w:spacing w:val="0"/>
          <w:sz w:val="24"/>
          <w:szCs w:val="24"/>
        </w:rPr>
        <w:t>1.3.4谈判小组应按照谈判文件规定推荐成交候选供应商或根据采购人的授权确定成交供应商。</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1.3.5评审应遵守下列评审纪律：</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④全体谈判小组成员应按照谈判文件规定进行评审，一切认定事项应查有实据且不得弄虚作假。</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⑤评审中应充分发扬民主，推荐成交供应商候选人或根据采购人授权确定成交供应商后要服从评审报告。</w:t>
      </w:r>
    </w:p>
    <w:p>
      <w:pPr>
        <w:pStyle w:val="7"/>
        <w:keepNext w:val="0"/>
        <w:keepLines w:val="0"/>
        <w:widowControl/>
        <w:suppressLineNumbers w:val="0"/>
        <w:spacing w:before="75" w:beforeAutospacing="0" w:after="75" w:afterAutospacing="0" w:line="405" w:lineRule="atLeast"/>
        <w:ind w:left="0" w:right="0" w:firstLine="480"/>
      </w:pPr>
      <w:r>
        <w:rPr>
          <w:rStyle w:val="10"/>
          <w:rFonts w:hint="eastAsia" w:ascii="宋体" w:hAnsi="宋体" w:eastAsia="宋体" w:cs="宋体"/>
          <w:b/>
          <w:spacing w:val="0"/>
          <w:sz w:val="24"/>
          <w:szCs w:val="24"/>
        </w:rPr>
        <w:t>※对违反评审纪律的评委，将取消其评委资格，对评审工作造成严重损失者将予以通报批评乃至追究法律责任。</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0"/>
        <w:jc w:val="center"/>
      </w:pPr>
      <w:r>
        <w:rPr>
          <w:rFonts w:hint="eastAsia" w:ascii="宋体" w:hAnsi="宋体" w:eastAsia="宋体" w:cs="宋体"/>
          <w:spacing w:val="0"/>
          <w:sz w:val="24"/>
          <w:szCs w:val="24"/>
        </w:rPr>
        <w:t>二、</w:t>
      </w:r>
      <w:r>
        <w:rPr>
          <w:rStyle w:val="10"/>
          <w:rFonts w:hint="eastAsia" w:ascii="宋体" w:hAnsi="宋体" w:eastAsia="宋体" w:cs="宋体"/>
          <w:b/>
          <w:spacing w:val="0"/>
          <w:sz w:val="24"/>
          <w:szCs w:val="24"/>
        </w:rPr>
        <w:t>谈判程序</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2.1谈判程序按照谈判文件第二章第2节“竞争性谈判须知”第14条“谈判程序以及评定成交的标准”的相关条款规定执行。</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2.3只有资格审查和实质性响应审查均合格且按规定提交最后报价的合格供应商才能参加评定成交的最后价格排序和成交候选人推荐。</w:t>
      </w:r>
    </w:p>
    <w:p>
      <w:pPr>
        <w:pStyle w:val="7"/>
        <w:keepNext w:val="0"/>
        <w:keepLines w:val="0"/>
        <w:widowControl/>
        <w:suppressLineNumbers w:val="0"/>
        <w:spacing w:before="75" w:beforeAutospacing="0" w:after="75" w:afterAutospacing="0" w:line="405" w:lineRule="atLeast"/>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05" w:lineRule="atLeast"/>
        <w:ind w:left="0" w:right="0" w:firstLine="0"/>
        <w:jc w:val="center"/>
      </w:pPr>
      <w:r>
        <w:rPr>
          <w:rStyle w:val="10"/>
          <w:rFonts w:hint="eastAsia" w:ascii="宋体" w:hAnsi="宋体" w:eastAsia="宋体" w:cs="宋体"/>
          <w:b/>
          <w:spacing w:val="0"/>
          <w:sz w:val="24"/>
          <w:szCs w:val="24"/>
        </w:rPr>
        <w:t>三、最低评审价法和成交候选人推荐</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pStyle w:val="7"/>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3.1.1根据财政部及福建省财政厅等有关政府采购文件规定执行价格评审优惠政策，价格扣除规则如下：</w:t>
      </w:r>
    </w:p>
    <w:p>
      <w:pPr>
        <w:pStyle w:val="7"/>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包1:</w:t>
      </w:r>
    </w:p>
    <w:p>
      <w:pPr>
        <w:pStyle w:val="7"/>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（1）小型、微型企业产品： 无 。</w:t>
      </w:r>
    </w:p>
    <w:p>
      <w:pPr>
        <w:pStyle w:val="7"/>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（2）优先类节能产品、环境标志产品： 无 。</w:t>
      </w:r>
    </w:p>
    <w:p>
      <w:pPr>
        <w:pStyle w:val="7"/>
        <w:keepNext w:val="0"/>
        <w:keepLines w:val="0"/>
        <w:widowControl/>
        <w:suppressLineNumbers w:val="0"/>
        <w:spacing w:before="0" w:beforeAutospacing="0" w:after="150" w:afterAutospacing="0"/>
        <w:ind w:left="0" w:right="0"/>
      </w:pPr>
    </w:p>
    <w:p>
      <w:pPr>
        <w:pStyle w:val="7"/>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c.其他：</w:t>
      </w:r>
      <w:r>
        <w:rPr>
          <w:spacing w:val="0"/>
          <w:sz w:val="24"/>
          <w:szCs w:val="24"/>
        </w:rPr>
        <w:t>无。</w:t>
      </w:r>
    </w:p>
    <w:p>
      <w:pPr>
        <w:pStyle w:val="7"/>
        <w:keepNext w:val="0"/>
        <w:keepLines w:val="0"/>
        <w:widowControl/>
        <w:suppressLineNumbers w:val="0"/>
        <w:spacing w:before="75" w:beforeAutospacing="0" w:after="75" w:afterAutospacing="0" w:line="405" w:lineRule="atLeast"/>
        <w:ind w:left="0" w:right="0" w:firstLine="465"/>
      </w:pPr>
      <w:r>
        <w:rPr>
          <w:rFonts w:hint="eastAsia" w:ascii="宋体" w:hAnsi="宋体" w:eastAsia="宋体" w:cs="宋体"/>
          <w:spacing w:val="0"/>
          <w:sz w:val="24"/>
          <w:szCs w:val="24"/>
        </w:rPr>
        <w:t>3.1.2合格供应商提交的最后报价按照上文3.1.1款规定的价格扣除规则计算后，得出的价格称为最后报价评审价。</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（1）谈判文件可以约定出现并列最低评审价情形时的优先顺序规则，具体规则为：</w:t>
      </w:r>
      <w:r>
        <w:rPr>
          <w:spacing w:val="0"/>
          <w:sz w:val="24"/>
          <w:szCs w:val="24"/>
        </w:rPr>
        <w:t>无。</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（2）谈判文件未约定优先顺序规则时，则由谈判小组中的采购人代表从并列最低评审价名单中自行选择确定优先顺序</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（3）采购人代表放弃自行选择确定权利的，则通过随机抽取方式确定优先顺序。</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0"/>
        <w:jc w:val="center"/>
      </w:pPr>
      <w:r>
        <w:rPr>
          <w:rStyle w:val="10"/>
          <w:rFonts w:hint="eastAsia" w:ascii="宋体" w:hAnsi="宋体" w:eastAsia="宋体" w:cs="宋体"/>
          <w:b/>
          <w:spacing w:val="0"/>
          <w:sz w:val="24"/>
          <w:szCs w:val="24"/>
        </w:rPr>
        <w:t>四、评审报告</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4.1谈判小组完成评审后，应当编写评审报告并提交给采购人。</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4.2评审报告应当包括以下主要内容：</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（一）邀请供应商参加采购活动的具体方式和相关情况，以及参加采购活动的供应商名单；</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（二）评审日期和地点，谈判小组成员名单；</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（三）评审情况记录和说明，包括对供应商的资格审查情况、供应商响应文件评审情况、谈判情况、报价情况等；</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（四）提出的成交候选人的名单及理由。</w:t>
      </w:r>
    </w:p>
    <w:p>
      <w:pPr>
        <w:pStyle w:val="7"/>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0"/>
        <w:jc w:val="center"/>
      </w:pPr>
      <w:r>
        <w:rPr>
          <w:rStyle w:val="10"/>
          <w:rFonts w:hint="eastAsia" w:ascii="宋体" w:hAnsi="宋体" w:eastAsia="宋体" w:cs="宋体"/>
          <w:b/>
          <w:spacing w:val="0"/>
          <w:sz w:val="24"/>
          <w:szCs w:val="24"/>
        </w:rPr>
        <w:t>五、其他规定</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5.1其他规定</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5.1.3若供应商有任何试图干扰具体评审事务，影响谈判小组独立履行职责的行为，其响应无效且不予退还谈判保证金。情节严重的，由财政部门列入不良行为记录。</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5.1.4根据采购项目的特点和需要，需要加以详细说明的其他谈判程序规定、要求等内容：</w:t>
      </w:r>
    </w:p>
    <w:p>
      <w:pPr>
        <w:pStyle w:val="7"/>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无。</w:t>
      </w:r>
    </w:p>
    <w:p>
      <w:pPr>
        <w:pStyle w:val="7"/>
        <w:keepNext w:val="0"/>
        <w:keepLines w:val="0"/>
        <w:widowControl/>
        <w:suppressLineNumbers w:val="0"/>
        <w:spacing w:before="75" w:beforeAutospacing="0" w:after="75" w:afterAutospacing="0" w:line="435" w:lineRule="atLeast"/>
        <w:ind w:left="0" w:right="0" w:firstLine="0"/>
      </w:pPr>
    </w:p>
    <w:p>
      <w:pPr>
        <w:pStyle w:val="7"/>
        <w:keepNext w:val="0"/>
        <w:keepLines w:val="0"/>
        <w:widowControl/>
        <w:suppressLineNumbers w:val="0"/>
        <w:spacing w:before="75" w:beforeAutospacing="0" w:after="75" w:afterAutospacing="0" w:line="435" w:lineRule="atLeast"/>
        <w:ind w:left="0" w:right="0" w:firstLine="0"/>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Style w:val="10"/>
          <w:rFonts w:hint="eastAsia" w:ascii="宋体" w:hAnsi="宋体" w:eastAsia="宋体" w:cs="宋体"/>
          <w:b/>
          <w:spacing w:val="0"/>
          <w:sz w:val="24"/>
          <w:szCs w:val="24"/>
        </w:rPr>
        <w:t>第2节  竞争性谈判须知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一、总则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1.适用范围：</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1.1适用于谈判文件载明项目的采购活动（以下简称：“本次采购活动”）。</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2.定义及要求：</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2.1“采购标的”指谈判文件载明的需要采购的货物、服务、工程。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2.2“采购人”指本次采购项目的买方、或业主方、或甲方，具体见谈判文件第一章；“采购代理机构”系指接受采购人委托，组织开展竞争性谈判采购活动的代理机构，具体见谈判文件第一章。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2.3“潜在供应商”按照谈判文件第一章规定进行报名，且有意向参加本项目响应谈判的供应商。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2.4“供应商”指按照谈判文件第一章规定进行报名，且已经提交响应文件的法人或其他组织或自然人。只有适合自然人参与和承接的政府采购项目，供应商才可以是自然人。</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3.合格的供应商：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10"/>
          <w:rFonts w:hint="eastAsia" w:ascii="宋体" w:hAnsi="宋体" w:eastAsia="宋体" w:cs="宋体"/>
          <w:b/>
          <w:spacing w:val="0"/>
          <w:sz w:val="24"/>
          <w:szCs w:val="24"/>
        </w:rPr>
        <w:t>。</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10"/>
          <w:rFonts w:hint="eastAsia" w:ascii="宋体" w:hAnsi="宋体" w:eastAsia="宋体" w:cs="宋体"/>
          <w:b/>
          <w:spacing w:val="0"/>
          <w:sz w:val="24"/>
          <w:szCs w:val="24"/>
        </w:rPr>
        <w:t>。</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b/>
          <w:spacing w:val="0"/>
          <w:sz w:val="24"/>
          <w:szCs w:val="24"/>
        </w:rPr>
        <w:t>供应商有责任检查自身情况，在响应文件中对是否违反以上一般规定做出如实声明，否则其响应文件将被否决。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3.2.1供应商的资格要求：详见竞争性谈判须知前附表第1项。</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3.2.2是否接受联合体形式的响应谈判：详见竞争性谈判须知前附表第2项。若接受联合体形式且供应商为联合体，则联合体各方除了应遵守本章第3.1条规定外，还应遵守下列规定：</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（1）联合体各方应提交联合体协议，联合体协议应符合谈判文件规定。</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（2）联合体各方不得再单独参加或与其他供应商另外组成联合体参加同一合同项下的响应谈判。</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4.参与竞争性谈判费用：</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4.1除法律法规或采购文件另有规定之外，供应商应自行承担其准备与参加竞争性谈判所涉及的一切费用。</w:t>
      </w:r>
    </w:p>
    <w:p>
      <w:pPr>
        <w:pStyle w:val="7"/>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二、竞争性谈判文件</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5.竞争性谈判文件的组成：</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5.1竞争性谈判文件由下述部分组成：</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竞争性谈判须知</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5.2除上述内容以外，采购人、采购代理机构或者谈判小组在采购过程期间对谈判文件所作的澄清、修改或补充，均构成谈判文件的组成部分，对采购人和供应商具有约束力。</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6.竞争性谈判文件的澄清、补充或修改：</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三、响应文件编制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7.应标要求</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0"/>
          <w:rFonts w:hint="eastAsia" w:ascii="宋体" w:hAnsi="宋体" w:eastAsia="宋体" w:cs="宋体"/>
          <w:b/>
          <w:spacing w:val="0"/>
          <w:sz w:val="24"/>
          <w:szCs w:val="24"/>
        </w:rPr>
        <w:t>否则其相应合同包的响应文件将被否决。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7.2供应商代表在同一个合同项下只能接受一个供应商的委托参加响应谈判，</w:t>
      </w:r>
      <w:r>
        <w:rPr>
          <w:rStyle w:val="10"/>
          <w:rFonts w:hint="eastAsia" w:ascii="宋体" w:hAnsi="宋体" w:eastAsia="宋体" w:cs="宋体"/>
          <w:b/>
          <w:spacing w:val="0"/>
          <w:sz w:val="24"/>
          <w:szCs w:val="24"/>
        </w:rPr>
        <w:t>否则其响应文件将被否决。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7.3供应商应仔细阅读谈判文件的所有内容和要求，按谈判文件的规定提供响应文件，并对其所提供的全部资料、承诺和声明的真实性、合法性和准确性负责。</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7.4除非竞争性谈判须知前附表另有规定外，供应商提供的响应文件应使用中文文本，若有不同文字文本，以中文文本为准。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7.6除非竞争性谈判须知前附表另有规定外，供应商承诺的报价应以人民币进行报价，合同实施结算时亦以人民币支付；所有计量均采用中华人民共和国法定计量单位。</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8.首次响应文件的组成：</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9.响应文件有效期：</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9.1响应文件有效期见竞争性谈判须知前附表第3项，响应文件承诺的有效期不得少于谈判文件载明的有效期，</w:t>
      </w:r>
      <w:r>
        <w:rPr>
          <w:rStyle w:val="10"/>
          <w:rFonts w:hint="eastAsia" w:ascii="宋体" w:hAnsi="宋体" w:eastAsia="宋体" w:cs="宋体"/>
          <w:b/>
          <w:spacing w:val="0"/>
          <w:sz w:val="24"/>
          <w:szCs w:val="24"/>
        </w:rPr>
        <w:t>否则其响应文件将被否决。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10.谈判保证金：</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10.2谈判保证金为响应文件的重要组成部分之一。谈判保证金用于保护本次谈判活动免受供应商的违约或失信行为而引起的风险。未按规定提交谈判保证金的，</w:t>
      </w:r>
      <w:r>
        <w:rPr>
          <w:rStyle w:val="10"/>
          <w:rFonts w:hint="eastAsia" w:ascii="宋体" w:hAnsi="宋体" w:eastAsia="宋体" w:cs="宋体"/>
          <w:b/>
          <w:spacing w:val="0"/>
          <w:sz w:val="24"/>
          <w:szCs w:val="24"/>
        </w:rPr>
        <w:t>其响应文件将被否决。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10.3谈判保证金退还：</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10.4如果供应商发生以下任何一种情况时，其谈判保证金将被不予退还：</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(3)除因不可抗力或谈判文件认可的情形以外，成交供应商不与采购人签订合同的；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(5)供应商在提交最后报价后要求退出谈判的；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(6)供应商假借以他人名义参加谈判或者以其他方式弄虚作假，骗取成交；</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(7)国家法律法规以及谈判文件中规定的其他谈判保证金不予退还的情形。</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上述不予退还谈判保证金的情况不能抵偿给采购人或采购代理机构造成损失的，供应商还要承担赔偿责任。</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11.纸质响应文件基本编制要求：</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11.2响应文件应由供应商代表签字并加盖公章。供应商代表如果不是竞争性谈判须知中定义的“单位负责人”，则其响应文件中还必须提供“单位负责人授权书”。</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12.纸质响应文件的密封、标识、签署和提交（除谈判文件相应章节已有规定之外，电子竞争性谈判活动的具体操作流程以福建省政府采购网上公开信息系统设定的为准。）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四、竞争性谈判</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13.评审和谈判基本准则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13.1对所有供应商的评审和谈判，都采用相同的程序和标准。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13.2谈判及评审过程将严格按照谈判文件的要求和条件进行，谈判小组将根据供应商的响应文件，按谈判文件规定的谈判程序和评定成交标准进行评审和谈判，并推荐成交候选人。</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14.谈判程序以及评定成交标准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14.1采购人将根据项目的特点依法组建谈判小组。谈判小组将根据谈判文件规定的程序、评定成交标准等内容对供应商进行评审、谈判。</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14.2.1供应商有下列情况之一者，其提交的响应文件将被视为未实质性响应谈判文件要求，谈判小组将否决其响应文件，按无效处理：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(2)响应文件未按谈判文件规定由供应商代表签字，或未按谈判文件规定加盖供应商单位公章的；或供应商代表未获得有效授权的；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(3)供应商未按谈判文件规定提交谈判保证金的；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(4)响应文件有效期不满足谈判文件要求的；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(7)不符合谈判文件中规定的其它实质性条款（比如：报价超过了谈判文件规定的最高限价）。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14.2.2其他情形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10"/>
          <w:b/>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谈判文件第三章采购内容及要求中“二、技术和服务要求”，其全部条款内容均为不允许负偏离的实质性要求，否则其响应文件无效。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322" w:type="dxa"/>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rPr>
            </w:pPr>
            <w:r>
              <w:rPr>
                <w:rFonts w:ascii="宋体" w:hAnsi="宋体" w:eastAsia="宋体" w:cs="宋体"/>
                <w:b/>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832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谈判文件第三章采购内容及要求中"三、商务条件”，其全部条款内容均为不允许负偏离的实质性要求，否则其响应文件无效。</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0"/>
          <w:rFonts w:ascii="宋体" w:hAnsi="宋体" w:eastAsia="宋体" w:cs="宋体"/>
          <w:b/>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谈判小组决定供应商的响应性只根据响应文件本身的内容，而不寻求其他的外部证据。</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14.10供应商提交的响应文件和资料将给予保密，但不退回（有关证件或证照的原件除外）。</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五、合同授予</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15.授予合同的准则：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15.1除不可抗力等因素外，合同将授予响应文件符合竞争性谈判文件要求，能够圆满地履行合同，且被谈判小组推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荐为第一成交候选人的供应商。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16.确定成交供应商：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16.1采购人委托代理机构组织竞争性谈判采购活动的，采购代理机构在评审结束后2个工作日内将评审报告送采购人确认。</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17.成交通知:</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18.签订合同：</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供应商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18.2竞争性谈判文件、成交供应商的响应文件及其有关澄清承诺文件等，均为签订政府采购合同的依据和组成部分。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六、询问、质疑与投诉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19.询问</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20.质疑</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④质疑人自身权益受到损害的事实依据和证明材料，至少包括：</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⑤针对质疑事项提出的明确请求和法律依据，</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21.投诉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21.1若对质疑答复不满意或质疑答复未在答复期限内作出，质疑人可在答复期限届满之日起15个工作日内向谈判文件中载明的监督管理部门投诉。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21.1投诉应有明确的请求和必要的证明材料，投诉的事项不得超出已质疑事项的范围。</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七、有关信息公告和监督部门</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22.政府采购信息公告媒体</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22.2信息公告指定媒体：详见竞争性谈判须知前附表第8项。</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23.监督管理部门</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23.1谈判采购活动的监督管理部门详见竞争性谈判须知前附表第9项。</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八、根据采购项目特点或政策需要补充的其他内容</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24.履约保证金</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25.其他新增内容：</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根据采购项目特点或政策需要补充的其他新增内容详见竞争性谈判须知前附表第11项。</w:t>
      </w:r>
    </w:p>
    <w:p>
      <w:pPr>
        <w:pStyle w:val="7"/>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caps w:val="0"/>
          <w:color w:val="393939"/>
          <w:spacing w:val="0"/>
          <w:sz w:val="19"/>
          <w:szCs w:val="19"/>
        </w:rPr>
      </w:pP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br w:type="textWrapping"/>
      </w:r>
      <w:r>
        <w:rPr>
          <w:rStyle w:val="10"/>
          <w:rFonts w:hint="eastAsia" w:ascii="宋体" w:hAnsi="宋体" w:eastAsia="宋体" w:cs="宋体"/>
          <w:b/>
          <w:spacing w:val="0"/>
          <w:sz w:val="24"/>
          <w:szCs w:val="24"/>
        </w:rPr>
        <w:t>第三章  采购内容及要求</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一、（根据本项目实际情况，填写“采购标的”或“项目概况”）</w:t>
      </w:r>
    </w:p>
    <w:p>
      <w:pPr>
        <w:pStyle w:val="7"/>
        <w:keepNext w:val="0"/>
        <w:keepLines w:val="0"/>
        <w:widowControl/>
        <w:suppressLineNumbers w:val="0"/>
        <w:spacing w:before="0" w:beforeAutospacing="0" w:after="0" w:afterAutospacing="0" w:line="405" w:lineRule="atLeast"/>
        <w:ind w:left="0" w:righ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1、本次</w:t>
      </w:r>
      <w:r>
        <w:rPr>
          <w:rFonts w:hint="eastAsia" w:asciiTheme="minorEastAsia" w:hAnsiTheme="minorEastAsia" w:eastAsiaTheme="minorEastAsia" w:cstheme="minorEastAsia"/>
          <w:sz w:val="24"/>
          <w:szCs w:val="24"/>
          <w:shd w:val="clear" w:fill="FFFFFF"/>
          <w:lang w:val="en-US" w:eastAsia="zh-CN"/>
        </w:rPr>
        <w:t>招标项目主要</w:t>
      </w:r>
      <w:r>
        <w:rPr>
          <w:rFonts w:hint="eastAsia" w:asciiTheme="minorEastAsia" w:hAnsiTheme="minorEastAsia" w:eastAsiaTheme="minorEastAsia" w:cstheme="minorEastAsia"/>
          <w:sz w:val="24"/>
          <w:szCs w:val="24"/>
          <w:shd w:val="clear" w:fill="FFFFFF"/>
        </w:rPr>
        <w:t>为福建省司法警察训练总队训练器材货物类采购项目</w:t>
      </w:r>
      <w:r>
        <w:rPr>
          <w:rFonts w:hint="eastAsia" w:asciiTheme="minorEastAsia" w:hAnsiTheme="minorEastAsia" w:eastAsiaTheme="minorEastAsia" w:cstheme="minorEastAsia"/>
          <w:sz w:val="24"/>
          <w:szCs w:val="24"/>
          <w:shd w:val="clear" w:fill="FFFFFF"/>
          <w:lang w:val="en-US" w:eastAsia="zh-CN"/>
        </w:rPr>
        <w:t>使用</w:t>
      </w:r>
      <w:r>
        <w:rPr>
          <w:rFonts w:hint="eastAsia" w:asciiTheme="minorEastAsia" w:hAnsiTheme="minorEastAsia" w:eastAsiaTheme="minorEastAsia" w:cstheme="minorEastAsia"/>
          <w:sz w:val="24"/>
          <w:szCs w:val="24"/>
          <w:shd w:val="clear" w:fill="FFFFFF"/>
        </w:rPr>
        <w:t>。所投货物必须符合国家相关标准、规范要求。</w:t>
      </w:r>
    </w:p>
    <w:p>
      <w:pPr>
        <w:pStyle w:val="7"/>
        <w:keepNext w:val="0"/>
        <w:keepLines w:val="0"/>
        <w:widowControl/>
        <w:suppressLineNumbers w:val="0"/>
        <w:spacing w:before="0" w:beforeAutospacing="0" w:after="0" w:afterAutospacing="0" w:line="405" w:lineRule="atLeast"/>
        <w:ind w:left="0" w:righ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fill="FFFFFF"/>
        </w:rPr>
        <w:t>2、采购货物标示“</w:t>
      </w:r>
      <w:r>
        <w:rPr>
          <w:rFonts w:hint="eastAsia" w:asciiTheme="minorEastAsia" w:hAnsiTheme="minorEastAsia" w:eastAsiaTheme="minorEastAsia" w:cstheme="minorEastAsia"/>
          <w:b/>
          <w:bCs/>
          <w:sz w:val="24"/>
          <w:szCs w:val="24"/>
          <w:shd w:val="clear" w:fill="FFFFFF"/>
        </w:rPr>
        <w:t>◆</w:t>
      </w:r>
      <w:r>
        <w:rPr>
          <w:rFonts w:hint="eastAsia" w:asciiTheme="minorEastAsia" w:hAnsiTheme="minorEastAsia" w:eastAsiaTheme="minorEastAsia" w:cstheme="minorEastAsia"/>
          <w:b/>
          <w:bCs/>
          <w:sz w:val="24"/>
          <w:szCs w:val="24"/>
          <w:shd w:val="clear" w:fill="FFFFFF"/>
          <w:lang w:val="en-US" w:eastAsia="zh-CN"/>
        </w:rPr>
        <w:t>电击枪</w:t>
      </w:r>
      <w:r>
        <w:rPr>
          <w:rFonts w:hint="eastAsia" w:asciiTheme="minorEastAsia" w:hAnsiTheme="minorEastAsia" w:eastAsiaTheme="minorEastAsia" w:cstheme="minorEastAsia"/>
          <w:sz w:val="24"/>
          <w:szCs w:val="24"/>
          <w:shd w:val="clear" w:fill="FFFFFF"/>
        </w:rPr>
        <w:t>”为核心产品，若提供相同品 牌产品的不同供应 商参加同一合同项下投标的，按谈判文件相关规定执行。</w:t>
      </w:r>
    </w:p>
    <w:p>
      <w:pPr>
        <w:pStyle w:val="7"/>
        <w:keepNext w:val="0"/>
        <w:keepLines w:val="0"/>
        <w:widowControl/>
        <w:suppressLineNumbers w:val="0"/>
        <w:spacing w:before="0" w:beforeAutospacing="0" w:after="0" w:afterAutospacing="0" w:line="405" w:lineRule="atLeast"/>
        <w:ind w:left="0" w:right="0" w:firstLine="480"/>
        <w:rPr>
          <w:rStyle w:val="10"/>
          <w:rFonts w:hint="eastAsia" w:asciiTheme="minorEastAsia" w:hAnsiTheme="minorEastAsia" w:eastAsiaTheme="minorEastAsia" w:cstheme="minorEastAsia"/>
          <w:b/>
          <w:sz w:val="24"/>
          <w:szCs w:val="24"/>
          <w:shd w:val="clear" w:fill="FFFFFF"/>
        </w:rPr>
      </w:pPr>
      <w:r>
        <w:rPr>
          <w:rStyle w:val="10"/>
          <w:rFonts w:hint="eastAsia" w:asciiTheme="minorEastAsia" w:hAnsiTheme="minorEastAsia" w:eastAsiaTheme="minorEastAsia" w:cstheme="minorEastAsia"/>
          <w:b/>
          <w:sz w:val="24"/>
          <w:szCs w:val="24"/>
          <w:shd w:val="clear" w:fill="FFFFFF"/>
        </w:rPr>
        <w:t>3、本项目合同包的评标方法为最低评标价法，所有技术和服务要求及商务条件条款均不允许负偏离和不满足采购要求，否则其响应文件无效。</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、样品要求</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.1、样品（小样）清单：</w:t>
      </w:r>
    </w:p>
    <w:tbl>
      <w:tblPr>
        <w:tblStyle w:val="8"/>
        <w:tblW w:w="8520" w:type="dxa"/>
        <w:jc w:val="center"/>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855"/>
        <w:gridCol w:w="2840"/>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序号</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产品要求</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shd w:val="clear" w:fill="FFFFFF"/>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right="0" w:firstLine="240" w:firstLineChars="10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1</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Style w:val="10"/>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电击枪</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2</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Style w:val="10"/>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催泪枪</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3</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Style w:val="10"/>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电击圆盾</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4</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Style w:val="10"/>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光电隔离圆盾</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2" w:hRule="atLeast"/>
          <w:tblCellSpacing w:w="15" w:type="dxa"/>
          <w:jc w:val="center"/>
        </w:trPr>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jc w:val="center"/>
              <w:rPr>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5</w:t>
            </w:r>
          </w:p>
        </w:tc>
        <w:tc>
          <w:tcPr>
            <w:tcW w:w="281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Style w:val="10"/>
                <w:rFonts w:hint="eastAsia" w:asciiTheme="minorEastAsia" w:hAnsiTheme="minorEastAsia" w:eastAsiaTheme="minorEastAsia" w:cstheme="minorEastAsia"/>
                <w:b w:val="0"/>
                <w:bCs/>
                <w:sz w:val="24"/>
                <w:szCs w:val="24"/>
              </w:rPr>
            </w:pPr>
            <w:r>
              <w:rPr>
                <w:rStyle w:val="10"/>
                <w:rFonts w:hint="eastAsia" w:asciiTheme="minorEastAsia" w:hAnsiTheme="minorEastAsia" w:eastAsiaTheme="minorEastAsia" w:cstheme="minorEastAsia"/>
                <w:b w:val="0"/>
                <w:bCs/>
                <w:sz w:val="24"/>
                <w:szCs w:val="24"/>
              </w:rPr>
              <w:t>金龙绊马索</w:t>
            </w:r>
          </w:p>
        </w:tc>
        <w:tc>
          <w:tcPr>
            <w:tcW w:w="2780" w:type="dxa"/>
            <w:tcBorders>
              <w:tl2br w:val="nil"/>
              <w:tr2bl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rPr>
                <w:rFonts w:hint="eastAsia" w:asciiTheme="minorEastAsia" w:hAnsiTheme="minorEastAsia" w:eastAsiaTheme="minorEastAsia" w:cstheme="minorEastAsia"/>
                <w:b w:val="0"/>
                <w:bCs/>
                <w:sz w:val="24"/>
                <w:szCs w:val="24"/>
                <w:lang w:val="en-US"/>
              </w:rPr>
            </w:pPr>
            <w:r>
              <w:rPr>
                <w:rFonts w:hint="eastAsia" w:asciiTheme="minorEastAsia" w:hAnsiTheme="minorEastAsia" w:eastAsiaTheme="minorEastAsia" w:cstheme="minorEastAsia"/>
                <w:b w:val="0"/>
                <w:bCs/>
                <w:sz w:val="24"/>
                <w:szCs w:val="24"/>
                <w:lang w:val="en-US" w:eastAsia="zh-CN"/>
              </w:rPr>
              <w:t>1条</w:t>
            </w:r>
          </w:p>
        </w:tc>
      </w:tr>
    </w:tbl>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5.2、样品（小样）递交与退回：</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5.2.1、</w:t>
      </w:r>
      <w:r>
        <w:rPr>
          <w:rStyle w:val="10"/>
          <w:rFonts w:hint="eastAsia" w:asciiTheme="minorEastAsia" w:hAnsiTheme="minorEastAsia" w:eastAsiaTheme="minorEastAsia" w:cstheme="minorEastAsia"/>
          <w:sz w:val="24"/>
          <w:szCs w:val="24"/>
          <w:lang w:val="en-US" w:eastAsia="zh-CN"/>
        </w:rPr>
        <w:t>供应商</w:t>
      </w:r>
      <w:r>
        <w:rPr>
          <w:rStyle w:val="10"/>
          <w:rFonts w:hint="eastAsia" w:asciiTheme="minorEastAsia" w:hAnsiTheme="minorEastAsia" w:eastAsiaTheme="minorEastAsia" w:cstheme="minorEastAsia"/>
          <w:sz w:val="24"/>
          <w:szCs w:val="24"/>
        </w:rPr>
        <w:t>的样品（小样）须在</w:t>
      </w:r>
      <w:r>
        <w:rPr>
          <w:rStyle w:val="10"/>
          <w:rFonts w:hint="eastAsia" w:asciiTheme="minorEastAsia" w:hAnsiTheme="minorEastAsia" w:eastAsiaTheme="minorEastAsia" w:cstheme="minorEastAsia"/>
          <w:sz w:val="24"/>
          <w:szCs w:val="24"/>
          <w:lang w:val="en-US" w:eastAsia="zh-CN"/>
        </w:rPr>
        <w:t>响应</w:t>
      </w:r>
      <w:r>
        <w:rPr>
          <w:rStyle w:val="10"/>
          <w:rFonts w:hint="eastAsia" w:asciiTheme="minorEastAsia" w:hAnsiTheme="minorEastAsia" w:eastAsiaTheme="minorEastAsia" w:cstheme="minorEastAsia"/>
          <w:sz w:val="24"/>
          <w:szCs w:val="24"/>
        </w:rPr>
        <w:t>文件递交截止时间前送到福州市鼓楼区东大路36号花开富贵1楼A座23层18H室福州华腾招标有限公司指 定样品存放地点，逾期送达的样品（小样）（以《样品（小样）签收表》上时间为准）不予接受。样品（小样）须按顺序摆放整齐，样品（小样）上应贴标签（标签上应注明合同包号、品目号、货物名 称等，并遮盖货物品 牌及生产厂家、型号等），标签应粘贴牢固，书写应正楷、清晰。样品（小样）和包装均不得标明</w:t>
      </w:r>
      <w:r>
        <w:rPr>
          <w:rStyle w:val="10"/>
          <w:rFonts w:hint="eastAsia" w:asciiTheme="minorEastAsia" w:hAnsiTheme="minorEastAsia" w:eastAsiaTheme="minorEastAsia" w:cstheme="minorEastAsia"/>
          <w:sz w:val="24"/>
          <w:szCs w:val="24"/>
          <w:lang w:val="en-US" w:eastAsia="zh-CN"/>
        </w:rPr>
        <w:t>供 应 商</w:t>
      </w:r>
      <w:r>
        <w:rPr>
          <w:rStyle w:val="10"/>
          <w:rFonts w:hint="eastAsia" w:asciiTheme="minorEastAsia" w:hAnsiTheme="minorEastAsia" w:eastAsiaTheme="minorEastAsia" w:cstheme="minorEastAsia"/>
          <w:sz w:val="24"/>
          <w:szCs w:val="24"/>
        </w:rPr>
        <w:t>名 称及货物品 牌，由招标代 理机构现场编号供评委评标。</w:t>
      </w:r>
      <w:r>
        <w:rPr>
          <w:rStyle w:val="10"/>
          <w:rFonts w:hint="eastAsia" w:asciiTheme="minorEastAsia" w:hAnsiTheme="minorEastAsia" w:eastAsiaTheme="minorEastAsia" w:cstheme="minorEastAsia"/>
          <w:sz w:val="24"/>
          <w:szCs w:val="24"/>
          <w:lang w:val="en-US" w:eastAsia="zh-CN"/>
        </w:rPr>
        <w:t xml:space="preserve">供 应商 </w:t>
      </w:r>
      <w:r>
        <w:rPr>
          <w:rStyle w:val="10"/>
          <w:rFonts w:hint="eastAsia" w:asciiTheme="minorEastAsia" w:hAnsiTheme="minorEastAsia" w:eastAsiaTheme="minorEastAsia" w:cstheme="minorEastAsia"/>
          <w:sz w:val="24"/>
          <w:szCs w:val="24"/>
        </w:rPr>
        <w:t>应按以上样品（小样）清单提供完整样品（小样）。</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5.2.2、</w:t>
      </w:r>
      <w:r>
        <w:rPr>
          <w:rStyle w:val="10"/>
          <w:rFonts w:hint="eastAsia" w:asciiTheme="minorEastAsia" w:hAnsiTheme="minorEastAsia" w:eastAsiaTheme="minorEastAsia" w:cstheme="minorEastAsia"/>
          <w:sz w:val="24"/>
          <w:szCs w:val="24"/>
          <w:lang w:val="en-US" w:eastAsia="zh-CN"/>
        </w:rPr>
        <w:t>供应 商</w:t>
      </w:r>
      <w:r>
        <w:rPr>
          <w:rStyle w:val="10"/>
          <w:rFonts w:hint="eastAsia" w:asciiTheme="minorEastAsia" w:hAnsiTheme="minorEastAsia" w:eastAsiaTheme="minorEastAsia" w:cstheme="minorEastAsia"/>
          <w:sz w:val="24"/>
          <w:szCs w:val="24"/>
        </w:rPr>
        <w:t>提供的样品（小样）技术性能应与其</w:t>
      </w:r>
      <w:r>
        <w:rPr>
          <w:rStyle w:val="10"/>
          <w:rFonts w:hint="eastAsia" w:asciiTheme="minorEastAsia" w:hAnsiTheme="minorEastAsia" w:eastAsiaTheme="minorEastAsia" w:cstheme="minorEastAsia"/>
          <w:sz w:val="24"/>
          <w:szCs w:val="24"/>
          <w:lang w:val="en-US" w:eastAsia="zh-CN"/>
        </w:rPr>
        <w:t>响应</w:t>
      </w:r>
      <w:r>
        <w:rPr>
          <w:rStyle w:val="10"/>
          <w:rFonts w:hint="eastAsia" w:asciiTheme="minorEastAsia" w:hAnsiTheme="minorEastAsia" w:eastAsiaTheme="minorEastAsia" w:cstheme="minorEastAsia"/>
          <w:sz w:val="24"/>
          <w:szCs w:val="24"/>
        </w:rPr>
        <w:t>文件所投产品响应的技术参数指标一致。若本次招标需复议，评标委员会对样品不作再次评审，样品评审结果不作更改。</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5.2.3、</w:t>
      </w:r>
      <w:r>
        <w:rPr>
          <w:rStyle w:val="10"/>
          <w:rFonts w:hint="eastAsia" w:asciiTheme="minorEastAsia" w:hAnsiTheme="minorEastAsia" w:eastAsiaTheme="minorEastAsia" w:cstheme="minorEastAsia"/>
          <w:sz w:val="24"/>
          <w:szCs w:val="24"/>
          <w:lang w:val="en-US" w:eastAsia="zh-CN"/>
        </w:rPr>
        <w:t>供应 商</w:t>
      </w:r>
      <w:r>
        <w:rPr>
          <w:rStyle w:val="10"/>
          <w:rFonts w:hint="eastAsia" w:asciiTheme="minorEastAsia" w:hAnsiTheme="minorEastAsia" w:eastAsiaTheme="minorEastAsia" w:cstheme="minorEastAsia"/>
          <w:sz w:val="24"/>
          <w:szCs w:val="24"/>
        </w:rPr>
        <w:t>未提交样品或提交的样品不全或提供的样品规格尺寸、款式、质量、材质要求等不满足</w:t>
      </w:r>
      <w:r>
        <w:rPr>
          <w:rStyle w:val="10"/>
          <w:rFonts w:hint="eastAsia" w:asciiTheme="minorEastAsia" w:hAnsiTheme="minorEastAsia" w:eastAsiaTheme="minorEastAsia" w:cstheme="minorEastAsia"/>
          <w:sz w:val="24"/>
          <w:szCs w:val="24"/>
          <w:lang w:val="en-US" w:eastAsia="zh-CN"/>
        </w:rPr>
        <w:t>谈判</w:t>
      </w:r>
      <w:r>
        <w:rPr>
          <w:rStyle w:val="10"/>
          <w:rFonts w:hint="eastAsia" w:asciiTheme="minorEastAsia" w:hAnsiTheme="minorEastAsia" w:eastAsiaTheme="minorEastAsia" w:cstheme="minorEastAsia"/>
          <w:sz w:val="24"/>
          <w:szCs w:val="24"/>
        </w:rPr>
        <w:t>文件要求均按无效标处理。</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5.2.4、专家评审过程中如需对样品（小样）进行检验测试或破坏性测试，由此可能造成的损坏由</w:t>
      </w:r>
      <w:r>
        <w:rPr>
          <w:rStyle w:val="10"/>
          <w:rFonts w:hint="eastAsia" w:asciiTheme="minorEastAsia" w:hAnsiTheme="minorEastAsia" w:eastAsiaTheme="minorEastAsia" w:cstheme="minorEastAsia"/>
          <w:sz w:val="24"/>
          <w:szCs w:val="24"/>
          <w:lang w:val="en-US" w:eastAsia="zh-CN"/>
        </w:rPr>
        <w:t>供应 商</w:t>
      </w:r>
      <w:r>
        <w:rPr>
          <w:rStyle w:val="10"/>
          <w:rFonts w:hint="eastAsia" w:asciiTheme="minorEastAsia" w:hAnsiTheme="minorEastAsia" w:eastAsiaTheme="minorEastAsia" w:cstheme="minorEastAsia"/>
          <w:sz w:val="24"/>
          <w:szCs w:val="24"/>
        </w:rPr>
        <w:t>自行承担。</w:t>
      </w:r>
    </w:p>
    <w:p>
      <w:pPr>
        <w:pStyle w:val="7"/>
        <w:keepNext w:val="0"/>
        <w:keepLines w:val="0"/>
        <w:widowControl/>
        <w:suppressLineNumbers w:val="0"/>
        <w:spacing w:before="0" w:beforeAutospacing="0" w:after="150" w:afterAutospacing="0" w:line="405" w:lineRule="atLeast"/>
        <w:ind w:left="0" w:right="0" w:firstLine="480"/>
        <w:rPr>
          <w:rFonts w:hint="eastAsia" w:asciiTheme="minorEastAsia" w:hAnsiTheme="minorEastAsia" w:eastAsiaTheme="minorEastAsia" w:cstheme="minorEastAsia"/>
          <w:sz w:val="24"/>
          <w:szCs w:val="24"/>
        </w:rPr>
      </w:pPr>
      <w:r>
        <w:rPr>
          <w:rStyle w:val="10"/>
          <w:rFonts w:hint="eastAsia" w:asciiTheme="minorEastAsia" w:hAnsiTheme="minorEastAsia" w:eastAsiaTheme="minorEastAsia" w:cstheme="minorEastAsia"/>
          <w:sz w:val="24"/>
          <w:szCs w:val="24"/>
        </w:rPr>
        <w:t>5.2.5、采购人有权对</w:t>
      </w:r>
      <w:r>
        <w:rPr>
          <w:rStyle w:val="10"/>
          <w:rFonts w:hint="eastAsia" w:asciiTheme="minorEastAsia" w:hAnsiTheme="minorEastAsia" w:eastAsiaTheme="minorEastAsia" w:cstheme="minorEastAsia"/>
          <w:sz w:val="24"/>
          <w:szCs w:val="24"/>
          <w:lang w:val="en-US" w:eastAsia="zh-CN"/>
        </w:rPr>
        <w:t>成交人</w:t>
      </w:r>
      <w:r>
        <w:rPr>
          <w:rStyle w:val="10"/>
          <w:rFonts w:hint="eastAsia" w:asciiTheme="minorEastAsia" w:hAnsiTheme="minorEastAsia" w:eastAsiaTheme="minorEastAsia" w:cstheme="minorEastAsia"/>
          <w:sz w:val="24"/>
          <w:szCs w:val="24"/>
        </w:rPr>
        <w:t>的样品（小样）封存保留作为测试验收依据,若所提供实物与样品（小样）不符，则采购人有权退货，按合同规定进行赔偿或采购人暂时使用</w:t>
      </w:r>
      <w:r>
        <w:rPr>
          <w:rStyle w:val="10"/>
          <w:rFonts w:hint="eastAsia" w:asciiTheme="minorEastAsia" w:hAnsiTheme="minorEastAsia" w:eastAsiaTheme="minorEastAsia" w:cstheme="minorEastAsia"/>
          <w:sz w:val="24"/>
          <w:szCs w:val="24"/>
          <w:lang w:val="en-US" w:eastAsia="zh-CN"/>
        </w:rPr>
        <w:t>成交人</w:t>
      </w:r>
      <w:r>
        <w:rPr>
          <w:rStyle w:val="10"/>
          <w:rFonts w:hint="eastAsia" w:asciiTheme="minorEastAsia" w:hAnsiTheme="minorEastAsia" w:eastAsiaTheme="minorEastAsia" w:cstheme="minorEastAsia"/>
          <w:sz w:val="24"/>
          <w:szCs w:val="24"/>
        </w:rPr>
        <w:t>提供的与样品（小样）不符的货物直至</w:t>
      </w:r>
      <w:r>
        <w:rPr>
          <w:rStyle w:val="10"/>
          <w:rFonts w:hint="eastAsia" w:asciiTheme="minorEastAsia" w:hAnsiTheme="minorEastAsia" w:eastAsiaTheme="minorEastAsia" w:cstheme="minorEastAsia"/>
          <w:sz w:val="24"/>
          <w:szCs w:val="24"/>
          <w:lang w:val="en-US" w:eastAsia="zh-CN"/>
        </w:rPr>
        <w:t>成交人</w:t>
      </w:r>
      <w:r>
        <w:rPr>
          <w:rStyle w:val="10"/>
          <w:rFonts w:hint="eastAsia" w:asciiTheme="minorEastAsia" w:hAnsiTheme="minorEastAsia" w:eastAsiaTheme="minorEastAsia" w:cstheme="minorEastAsia"/>
          <w:sz w:val="24"/>
          <w:szCs w:val="24"/>
        </w:rPr>
        <w:t>重新提供与样品（小样）相符的货物直至采购人验收合格为止。</w:t>
      </w:r>
    </w:p>
    <w:p>
      <w:pPr>
        <w:pStyle w:val="7"/>
        <w:keepNext w:val="0"/>
        <w:keepLines w:val="0"/>
        <w:widowControl/>
        <w:suppressLineNumbers w:val="0"/>
        <w:spacing w:before="0" w:beforeAutospacing="0" w:after="150" w:afterAutospacing="0" w:line="405" w:lineRule="atLeast"/>
        <w:ind w:left="0" w:right="0" w:firstLine="480"/>
        <w:rPr>
          <w:rStyle w:val="10"/>
          <w:rFonts w:hint="eastAsia" w:asciiTheme="minorEastAsia" w:hAnsiTheme="minorEastAsia" w:eastAsiaTheme="minorEastAsia" w:cstheme="minorEastAsia"/>
          <w:b/>
          <w:sz w:val="24"/>
          <w:szCs w:val="24"/>
          <w:shd w:val="clear" w:fill="FFFFFF"/>
          <w:lang w:val="en-US" w:eastAsia="zh-CN"/>
        </w:rPr>
      </w:pPr>
      <w:r>
        <w:rPr>
          <w:rStyle w:val="10"/>
          <w:rFonts w:hint="eastAsia" w:asciiTheme="minorEastAsia" w:hAnsiTheme="minorEastAsia" w:eastAsiaTheme="minorEastAsia" w:cstheme="minorEastAsia"/>
          <w:sz w:val="24"/>
          <w:szCs w:val="24"/>
        </w:rPr>
        <w:t>5.2.6、未</w:t>
      </w:r>
      <w:r>
        <w:rPr>
          <w:rStyle w:val="10"/>
          <w:rFonts w:hint="eastAsia" w:asciiTheme="minorEastAsia" w:hAnsiTheme="minorEastAsia" w:eastAsiaTheme="minorEastAsia" w:cstheme="minorEastAsia"/>
          <w:sz w:val="24"/>
          <w:szCs w:val="24"/>
          <w:lang w:val="en-US" w:eastAsia="zh-CN"/>
        </w:rPr>
        <w:t>成交</w:t>
      </w:r>
      <w:r>
        <w:rPr>
          <w:rStyle w:val="10"/>
          <w:rFonts w:hint="eastAsia" w:asciiTheme="minorEastAsia" w:hAnsiTheme="minorEastAsia" w:eastAsiaTheme="minorEastAsia" w:cstheme="minorEastAsia"/>
          <w:sz w:val="24"/>
          <w:szCs w:val="24"/>
        </w:rPr>
        <w:t>的</w:t>
      </w:r>
      <w:r>
        <w:rPr>
          <w:rStyle w:val="10"/>
          <w:rFonts w:hint="eastAsia" w:asciiTheme="minorEastAsia" w:hAnsiTheme="minorEastAsia" w:eastAsiaTheme="minorEastAsia" w:cstheme="minorEastAsia"/>
          <w:sz w:val="24"/>
          <w:szCs w:val="24"/>
          <w:lang w:val="en-US" w:eastAsia="zh-CN"/>
        </w:rPr>
        <w:t>供应 商</w:t>
      </w:r>
      <w:r>
        <w:rPr>
          <w:rStyle w:val="10"/>
          <w:rFonts w:hint="eastAsia" w:asciiTheme="minorEastAsia" w:hAnsiTheme="minorEastAsia" w:eastAsiaTheme="minorEastAsia" w:cstheme="minorEastAsia"/>
          <w:sz w:val="24"/>
          <w:szCs w:val="24"/>
        </w:rPr>
        <w:t>提供的样品（小样）在接到招标代 理公司通知后一天内办理退回手续，未在规定时间内办理退回手续的，若样品（小样）发生丢失则后果自负。</w:t>
      </w:r>
    </w:p>
    <w:p>
      <w:pPr>
        <w:pStyle w:val="7"/>
        <w:keepNext w:val="0"/>
        <w:keepLines w:val="0"/>
        <w:widowControl/>
        <w:numPr>
          <w:ilvl w:val="0"/>
          <w:numId w:val="3"/>
        </w:numPr>
        <w:suppressLineNumbers w:val="0"/>
        <w:spacing w:before="75" w:beforeAutospacing="0" w:after="75" w:afterAutospacing="0"/>
        <w:ind w:left="0" w:right="0" w:firstLine="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技术和服务要求</w:t>
      </w:r>
    </w:p>
    <w:p>
      <w:pPr>
        <w:pStyle w:val="7"/>
        <w:widowControl/>
        <w:adjustRightInd w:val="0"/>
        <w:snapToGrid w:val="0"/>
        <w:spacing w:before="0" w:beforeAutospacing="0" w:after="0" w:afterAutospacing="0" w:line="360" w:lineRule="auto"/>
        <w:ind w:firstLine="241" w:firstLineChars="10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sz w:val="24"/>
          <w:szCs w:val="24"/>
        </w:rPr>
        <w:t>注：参数中有特别标注或说明的按特别标注或说明的偏离，其余固定规格尺寸</w:t>
      </w:r>
      <w:r>
        <w:rPr>
          <w:rFonts w:hint="eastAsia" w:asciiTheme="minorEastAsia" w:hAnsiTheme="minorEastAsia" w:cstheme="minorEastAsia"/>
          <w:b/>
          <w:sz w:val="24"/>
          <w:szCs w:val="24"/>
          <w:lang w:eastAsia="zh-CN"/>
        </w:rPr>
        <w:t>、</w:t>
      </w:r>
      <w:r>
        <w:rPr>
          <w:rFonts w:hint="eastAsia" w:asciiTheme="minorEastAsia" w:hAnsiTheme="minorEastAsia" w:cstheme="minorEastAsia"/>
          <w:b/>
          <w:sz w:val="24"/>
          <w:szCs w:val="24"/>
          <w:lang w:val="en-US" w:eastAsia="zh-CN"/>
        </w:rPr>
        <w:t>重量</w:t>
      </w:r>
      <w:r>
        <w:rPr>
          <w:rFonts w:hint="eastAsia" w:asciiTheme="minorEastAsia" w:hAnsiTheme="minorEastAsia" w:eastAsiaTheme="minorEastAsia" w:cstheme="minorEastAsia"/>
          <w:b/>
          <w:sz w:val="24"/>
          <w:szCs w:val="24"/>
        </w:rPr>
        <w:t>允许在规定的数值范围内存在+2%的偏离，图片仅供参考。</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1、应急处突类清单</w:t>
      </w:r>
    </w:p>
    <w:tbl>
      <w:tblPr>
        <w:tblStyle w:val="8"/>
        <w:tblW w:w="8336" w:type="dxa"/>
        <w:tblInd w:w="0" w:type="dxa"/>
        <w:shd w:val="clear" w:color="auto" w:fill="auto"/>
        <w:tblLayout w:type="fixed"/>
        <w:tblCellMar>
          <w:top w:w="0" w:type="dxa"/>
          <w:left w:w="0" w:type="dxa"/>
          <w:bottom w:w="0" w:type="dxa"/>
          <w:right w:w="0" w:type="dxa"/>
        </w:tblCellMar>
      </w:tblPr>
      <w:tblGrid>
        <w:gridCol w:w="421"/>
        <w:gridCol w:w="758"/>
        <w:gridCol w:w="564"/>
        <w:gridCol w:w="2359"/>
        <w:gridCol w:w="2718"/>
        <w:gridCol w:w="758"/>
        <w:gridCol w:w="758"/>
      </w:tblGrid>
      <w:tr>
        <w:tblPrEx>
          <w:shd w:val="clear" w:color="auto" w:fill="auto"/>
          <w:tblLayout w:type="fixed"/>
          <w:tblCellMar>
            <w:top w:w="0" w:type="dxa"/>
            <w:left w:w="0" w:type="dxa"/>
            <w:bottom w:w="0" w:type="dxa"/>
            <w:right w:w="0" w:type="dxa"/>
          </w:tblCellMar>
        </w:tblPrEx>
        <w:trPr>
          <w:trHeight w:val="66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名称</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图片</w:t>
            </w:r>
          </w:p>
        </w:tc>
        <w:tc>
          <w:tcPr>
            <w:tcW w:w="2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参数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最高限价单价（元）</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总金额</w:t>
            </w:r>
          </w:p>
        </w:tc>
      </w:tr>
      <w:tr>
        <w:tblPrEx>
          <w:shd w:val="clear" w:color="auto" w:fill="auto"/>
          <w:tblLayout w:type="fixed"/>
          <w:tblCellMar>
            <w:top w:w="0" w:type="dxa"/>
            <w:left w:w="0" w:type="dxa"/>
            <w:bottom w:w="0" w:type="dxa"/>
            <w:right w:w="0" w:type="dxa"/>
          </w:tblCellMar>
        </w:tblPrEx>
        <w:trPr>
          <w:trHeight w:val="134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手雷弹</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20个</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drawing>
                <wp:inline distT="0" distB="0" distL="114300" distR="114300">
                  <wp:extent cx="969010" cy="819150"/>
                  <wp:effectExtent l="0" t="0" r="2540" b="0"/>
                  <wp:docPr id="10" name="ID_539AE1D7D29E48B69C9C32A4AE523F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D_539AE1D7D29E48B69C9C32A4AE523F44" descr="/"/>
                          <pic:cNvPicPr>
                            <a:picLocks noChangeAspect="1"/>
                          </pic:cNvPicPr>
                        </pic:nvPicPr>
                        <pic:blipFill>
                          <a:blip r:embed="rId5"/>
                          <a:stretch>
                            <a:fillRect/>
                          </a:stretch>
                        </pic:blipFill>
                        <pic:spPr>
                          <a:xfrm>
                            <a:off x="0" y="0"/>
                            <a:ext cx="969010" cy="819150"/>
                          </a:xfrm>
                          <a:prstGeom prst="rect">
                            <a:avLst/>
                          </a:prstGeom>
                          <a:noFill/>
                          <a:ln>
                            <a:noFill/>
                          </a:ln>
                        </pic:spPr>
                      </pic:pic>
                    </a:graphicData>
                  </a:graphic>
                </wp:inline>
              </w:drawing>
            </w:r>
          </w:p>
        </w:tc>
        <w:tc>
          <w:tcPr>
            <w:tcW w:w="2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 xml:space="preserve">材质：天然橡胶压模成型           </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规格型号：10cm*3cm</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 xml:space="preserve">重    量：250克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440</w:t>
            </w:r>
          </w:p>
        </w:tc>
      </w:tr>
      <w:tr>
        <w:tblPrEx>
          <w:shd w:val="clear" w:color="auto" w:fill="auto"/>
          <w:tblLayout w:type="fixed"/>
          <w:tblCellMar>
            <w:top w:w="0" w:type="dxa"/>
            <w:left w:w="0" w:type="dxa"/>
            <w:bottom w:w="0" w:type="dxa"/>
            <w:right w:w="0" w:type="dxa"/>
          </w:tblCellMar>
        </w:tblPrEx>
        <w:trPr>
          <w:trHeight w:val="16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催泪弹</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20个</w:t>
            </w:r>
          </w:p>
        </w:tc>
        <w:tc>
          <w:tcPr>
            <w:tcW w:w="2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224790</wp:posOffset>
                  </wp:positionH>
                  <wp:positionV relativeFrom="paragraph">
                    <wp:posOffset>42545</wp:posOffset>
                  </wp:positionV>
                  <wp:extent cx="647700" cy="952500"/>
                  <wp:effectExtent l="0" t="0" r="0" b="0"/>
                  <wp:wrapSquare wrapText="bothSides"/>
                  <wp:docPr id="2" name="ID_3D943D3C3A064492B6E7F5DCCE5163D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_3D943D3C3A064492B6E7F5DCCE5163DA" descr="/"/>
                          <pic:cNvPicPr>
                            <a:picLocks noChangeAspect="1"/>
                          </pic:cNvPicPr>
                        </pic:nvPicPr>
                        <pic:blipFill>
                          <a:blip r:embed="rId6"/>
                          <a:stretch>
                            <a:fillRect/>
                          </a:stretch>
                        </pic:blipFill>
                        <pic:spPr>
                          <a:xfrm>
                            <a:off x="0" y="0"/>
                            <a:ext cx="647700" cy="952500"/>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1、材质：天然橡胶，1:1模具铸压。</w:t>
            </w:r>
            <w:r>
              <w:rPr>
                <w:rFonts w:hint="eastAsia" w:asciiTheme="minorEastAsia" w:hAnsiTheme="minorEastAsia" w:eastAsiaTheme="minorEastAsia" w:cstheme="minorEastAsia"/>
                <w:i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color w:val="000000"/>
                <w:kern w:val="0"/>
                <w:sz w:val="24"/>
                <w:szCs w:val="24"/>
                <w:u w:val="none"/>
                <w:lang w:val="en-US" w:eastAsia="zh-CN" w:bidi="ar"/>
              </w:rPr>
              <w:t>2、重量：155g</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400</w:t>
            </w:r>
          </w:p>
        </w:tc>
      </w:tr>
      <w:tr>
        <w:tblPrEx>
          <w:shd w:val="clear" w:color="auto" w:fill="auto"/>
          <w:tblLayout w:type="fixed"/>
          <w:tblCellMar>
            <w:top w:w="0" w:type="dxa"/>
            <w:left w:w="0" w:type="dxa"/>
            <w:bottom w:w="0" w:type="dxa"/>
            <w:right w:w="0" w:type="dxa"/>
          </w:tblCellMar>
        </w:tblPrEx>
        <w:trPr>
          <w:trHeight w:val="186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声光爆震弹</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10个</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97155</wp:posOffset>
                  </wp:positionH>
                  <wp:positionV relativeFrom="paragraph">
                    <wp:posOffset>148590</wp:posOffset>
                  </wp:positionV>
                  <wp:extent cx="793750" cy="979170"/>
                  <wp:effectExtent l="0" t="0" r="6350" b="11430"/>
                  <wp:wrapNone/>
                  <wp:docPr id="3" name="ID_7E15141FC0754281B3ED4ED5199469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_7E15141FC0754281B3ED4ED519946959" descr="/"/>
                          <pic:cNvPicPr>
                            <a:picLocks noChangeAspect="1"/>
                          </pic:cNvPicPr>
                        </pic:nvPicPr>
                        <pic:blipFill>
                          <a:blip r:embed="rId7"/>
                          <a:stretch>
                            <a:fillRect/>
                          </a:stretch>
                        </pic:blipFill>
                        <pic:spPr>
                          <a:xfrm>
                            <a:off x="0" y="0"/>
                            <a:ext cx="793750" cy="979170"/>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优点：声、光、烟一体训练手雷。</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重量：260克。</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长度：85毫米。</w:t>
            </w:r>
          </w:p>
          <w:p>
            <w:pPr>
              <w:keepNext w:val="0"/>
              <w:keepLines w:val="0"/>
              <w:widowControl/>
              <w:numPr>
                <w:ilvl w:val="0"/>
                <w:numId w:val="4"/>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宽度：52毫米。</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600</w:t>
            </w:r>
          </w:p>
        </w:tc>
      </w:tr>
      <w:tr>
        <w:tblPrEx>
          <w:shd w:val="clear" w:color="auto" w:fill="auto"/>
          <w:tblLayout w:type="fixed"/>
          <w:tblCellMar>
            <w:top w:w="0" w:type="dxa"/>
            <w:left w:w="0" w:type="dxa"/>
            <w:bottom w:w="0" w:type="dxa"/>
            <w:right w:w="0" w:type="dxa"/>
          </w:tblCellMar>
        </w:tblPrEx>
        <w:trPr>
          <w:trHeight w:val="74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战术型防割手套</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5副</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inline distT="0" distB="0" distL="114300" distR="114300">
                  <wp:extent cx="1311275" cy="1108710"/>
                  <wp:effectExtent l="0" t="0" r="3175" b="15240"/>
                  <wp:docPr id="9" name="ID_1E1DA277298C4A539D3C53C6AF1F79AD"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D_1E1DA277298C4A539D3C53C6AF1F79AD" descr="/"/>
                          <pic:cNvPicPr>
                            <a:picLocks noChangeAspect="1"/>
                          </pic:cNvPicPr>
                        </pic:nvPicPr>
                        <pic:blipFill>
                          <a:blip r:embed="rId8"/>
                          <a:stretch>
                            <a:fillRect/>
                          </a:stretch>
                        </pic:blipFill>
                        <pic:spPr>
                          <a:xfrm>
                            <a:off x="0" y="0"/>
                            <a:ext cx="1311275" cy="1108710"/>
                          </a:xfrm>
                          <a:prstGeom prst="rect">
                            <a:avLst/>
                          </a:prstGeom>
                          <a:noFill/>
                          <a:ln>
                            <a:noFill/>
                          </a:ln>
                        </pic:spPr>
                      </pic:pic>
                    </a:graphicData>
                  </a:graphic>
                </wp:inline>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手套手心五级防割面料，手掌加厚硅胶防滑设计，手心防割的同时还能防滑耐磨，食指、中指、大拇指，三指触屏设计，触屏效果灵敏，更好操作电子设备，手背碳纤维护甲，对手背起到很好的保护作用，抗打击能力强。关节有透气，佩戴舒适。手腕魔术贴调节，收紧下口，不易脱落。</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2、执行标准：GA614-2006警用防割手套。</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675</w:t>
            </w:r>
          </w:p>
        </w:tc>
      </w:tr>
      <w:tr>
        <w:tblPrEx>
          <w:shd w:val="clear" w:color="auto" w:fill="auto"/>
          <w:tblLayout w:type="fixed"/>
          <w:tblCellMar>
            <w:top w:w="0" w:type="dxa"/>
            <w:left w:w="0" w:type="dxa"/>
            <w:bottom w:w="0" w:type="dxa"/>
            <w:right w:w="0" w:type="dxa"/>
          </w:tblCellMar>
        </w:tblPrEx>
        <w:trPr>
          <w:trHeight w:val="5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防割护臂</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5对</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inline distT="0" distB="0" distL="114300" distR="114300">
                  <wp:extent cx="1368425" cy="885825"/>
                  <wp:effectExtent l="0" t="0" r="3175" b="9525"/>
                  <wp:docPr id="5" name="ID_2564EC3EDAB64F35A89B8B79F9FF339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_2564EC3EDAB64F35A89B8B79F9FF339A" descr="/"/>
                          <pic:cNvPicPr>
                            <a:picLocks noChangeAspect="1"/>
                          </pic:cNvPicPr>
                        </pic:nvPicPr>
                        <pic:blipFill>
                          <a:blip r:embed="rId9"/>
                          <a:stretch>
                            <a:fillRect/>
                          </a:stretch>
                        </pic:blipFill>
                        <pic:spPr>
                          <a:xfrm>
                            <a:off x="0" y="0"/>
                            <a:ext cx="1368425" cy="885825"/>
                          </a:xfrm>
                          <a:prstGeom prst="rect">
                            <a:avLst/>
                          </a:prstGeom>
                          <a:noFill/>
                          <a:ln>
                            <a:noFill/>
                          </a:ln>
                        </pic:spPr>
                      </pic:pic>
                    </a:graphicData>
                  </a:graphic>
                </wp:inline>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1、警用防割护臂严格按照《公安单警装备—防割手套制造与验收规范》制造生产。</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2、材质：0.08mm</w:t>
            </w:r>
            <w:r>
              <w:rPr>
                <w:rFonts w:hint="eastAsia" w:asciiTheme="minorEastAsia" w:hAnsiTheme="minorEastAsia" w:eastAsiaTheme="minorEastAsia" w:cstheme="minorEastAsia"/>
                <w:i w:val="0"/>
                <w:color w:val="000000"/>
                <w:kern w:val="0"/>
                <w:sz w:val="24"/>
                <w:szCs w:val="24"/>
                <w:highlight w:val="none"/>
                <w:u w:val="none"/>
                <w:lang w:val="en-US" w:eastAsia="zh-CN" w:bidi="ar"/>
              </w:rPr>
              <w:t>不锈钢，</w:t>
            </w:r>
            <w:r>
              <w:rPr>
                <w:rFonts w:hint="eastAsia" w:asciiTheme="minorEastAsia" w:hAnsiTheme="minorEastAsia" w:eastAsiaTheme="minorEastAsia" w:cstheme="minorEastAsia"/>
                <w:i w:val="0"/>
                <w:color w:val="000000"/>
                <w:kern w:val="0"/>
                <w:sz w:val="24"/>
                <w:szCs w:val="24"/>
                <w:u w:val="none"/>
                <w:lang w:val="en-US" w:eastAsia="zh-CN" w:bidi="ar"/>
              </w:rPr>
              <w:t>外包超高分子量聚乙烯纤维制成的包覆纱 660dtex ，使用2根包覆纱做表层。加涤纶低弹丝 82.5dtex 为里层编织而成。</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尺寸：40cm左右</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性能：在保证防割要求的条件下（耐切割系数不小于2.5），增强了护臂的柔软度。加大了警员佩带使用时的舒适性。</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材料的颜色一致,性能稳定，无毒、易戴、易脱、透气、触感好、不影响关节弯曲。</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是警务人员在执行任务、处理突发事件时自身防护的产品。</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执行标准：GA614-2006警用防割手套。</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325</w:t>
            </w:r>
          </w:p>
        </w:tc>
      </w:tr>
      <w:tr>
        <w:tblPrEx>
          <w:shd w:val="clear" w:color="auto" w:fill="auto"/>
          <w:tblLayout w:type="fixed"/>
          <w:tblCellMar>
            <w:top w:w="0" w:type="dxa"/>
            <w:left w:w="0" w:type="dxa"/>
            <w:bottom w:w="0" w:type="dxa"/>
            <w:right w:w="0" w:type="dxa"/>
          </w:tblCellMar>
        </w:tblPrEx>
        <w:trPr>
          <w:trHeight w:val="30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防割护脖</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5个</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81280</wp:posOffset>
                  </wp:positionH>
                  <wp:positionV relativeFrom="paragraph">
                    <wp:posOffset>254000</wp:posOffset>
                  </wp:positionV>
                  <wp:extent cx="1245870" cy="1238250"/>
                  <wp:effectExtent l="0" t="0" r="11430" b="0"/>
                  <wp:wrapSquare wrapText="bothSides"/>
                  <wp:docPr id="4" name="ID_D93EE795F233405FB3617679967B8F8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_D93EE795F233405FB3617679967B8F8E" descr="/"/>
                          <pic:cNvPicPr>
                            <a:picLocks noChangeAspect="1"/>
                          </pic:cNvPicPr>
                        </pic:nvPicPr>
                        <pic:blipFill>
                          <a:blip r:embed="rId10"/>
                          <a:stretch>
                            <a:fillRect/>
                          </a:stretch>
                        </pic:blipFill>
                        <pic:spPr>
                          <a:xfrm>
                            <a:off x="0" y="0"/>
                            <a:ext cx="1245870" cy="1238250"/>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特点：</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为颈动脉和颈静脉提供舒适而有效的切割保护。</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折叠领,舒适贴肤。</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可机洗。</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EN388:2016达到5级（警用耐切割5圈）。</w:t>
            </w:r>
          </w:p>
          <w:p>
            <w:pPr>
              <w:keepNext w:val="0"/>
              <w:keepLines w:val="0"/>
              <w:widowControl/>
              <w:numPr>
                <w:ilvl w:val="0"/>
                <w:numId w:val="5"/>
              </w:numPr>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执行标准：GA614-2006警用防割手套。</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1100</w:t>
            </w:r>
          </w:p>
        </w:tc>
      </w:tr>
      <w:tr>
        <w:tblPrEx>
          <w:shd w:val="clear" w:color="auto" w:fill="auto"/>
          <w:tblLayout w:type="fixed"/>
          <w:tblCellMar>
            <w:top w:w="0" w:type="dxa"/>
            <w:left w:w="0" w:type="dxa"/>
            <w:bottom w:w="0" w:type="dxa"/>
            <w:right w:w="0" w:type="dxa"/>
          </w:tblCellMar>
        </w:tblPrEx>
        <w:trPr>
          <w:trHeight w:val="171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破门锤</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5个</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123825</wp:posOffset>
                  </wp:positionH>
                  <wp:positionV relativeFrom="paragraph">
                    <wp:posOffset>404495</wp:posOffset>
                  </wp:positionV>
                  <wp:extent cx="1273175" cy="1300480"/>
                  <wp:effectExtent l="0" t="0" r="3175" b="13970"/>
                  <wp:wrapSquare wrapText="bothSides"/>
                  <wp:docPr id="7" name="ID_439A481236D44F2E8F06F6B7F0C23D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_439A481236D44F2E8F06F6B7F0C23D14" descr="/"/>
                          <pic:cNvPicPr>
                            <a:picLocks noChangeAspect="1"/>
                          </pic:cNvPicPr>
                        </pic:nvPicPr>
                        <pic:blipFill>
                          <a:blip r:embed="rId11"/>
                          <a:stretch>
                            <a:fillRect/>
                          </a:stretch>
                        </pic:blipFill>
                        <pic:spPr>
                          <a:xfrm>
                            <a:off x="0" y="0"/>
                            <a:ext cx="1273175" cy="1300480"/>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撞门锤有防过电和防火花功能。是专门为部队中的破门手而设计使用，破门手负责为特警队攻进建筑物而执行开路工作，负责捣破大门、窗户等任何结构性障碍物。带吸震式把手，可单人或双人操作。每套破门撞锤需配快拆式肩带。</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2、技术参数：</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破门锤级别：35磅；</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适用于破门或破铰链SEMI-FLEX 物料握把柄吸收97% 冲击重音；</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包含一条快速卸放吊带。</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6250</w:t>
            </w:r>
          </w:p>
        </w:tc>
      </w:tr>
      <w:tr>
        <w:tblPrEx>
          <w:shd w:val="clear" w:color="auto" w:fill="auto"/>
          <w:tblLayout w:type="fixed"/>
          <w:tblCellMar>
            <w:top w:w="0" w:type="dxa"/>
            <w:left w:w="0" w:type="dxa"/>
            <w:bottom w:w="0" w:type="dxa"/>
            <w:right w:w="0" w:type="dxa"/>
          </w:tblCellMar>
        </w:tblPrEx>
        <w:trPr>
          <w:trHeight w:val="116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手动破拆工具</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5套</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38100</wp:posOffset>
                  </wp:positionH>
                  <wp:positionV relativeFrom="paragraph">
                    <wp:posOffset>452120</wp:posOffset>
                  </wp:positionV>
                  <wp:extent cx="1358900" cy="1362075"/>
                  <wp:effectExtent l="0" t="0" r="12700" b="9525"/>
                  <wp:wrapNone/>
                  <wp:docPr id="6" name="ID_DE10CBF246D44E86B2954ABF046DB8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_DE10CBF246D44E86B2954ABF046DB868" descr="/"/>
                          <pic:cNvPicPr>
                            <a:picLocks noChangeAspect="1"/>
                          </pic:cNvPicPr>
                        </pic:nvPicPr>
                        <pic:blipFill>
                          <a:blip r:embed="rId12"/>
                          <a:stretch>
                            <a:fillRect/>
                          </a:stretch>
                        </pic:blipFill>
                        <pic:spPr>
                          <a:xfrm>
                            <a:off x="0" y="0"/>
                            <a:ext cx="1358900" cy="1362075"/>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1、组成：破门工具背包(含3件工具＋一个背包)：包括铁笔、剪钳、铁斧、背包袋。（背包为尼龙物料，铺有护背海绵和可调式肩带。）；全套总重11公斤。</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2、铁笔：以合金为物料的一个独特双向铁笔。</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3、剪钳：高速钢材料的剪切钳，红硬性好，克服了碳素工具钢在高温下丧失切削金属能力的缺点，且握把柄设计达到最大之杠杆作用。</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4、铁斧：防静电防滑先进聚合物握把柄, 加入特制涂层令铁斧不会吸收玻璃碎片；斧头22厘米，铁笔60.5厘米，剪钳62.</w:t>
            </w:r>
            <w:r>
              <w:rPr>
                <w:rFonts w:hint="eastAsia" w:asciiTheme="minorEastAsia" w:hAnsiTheme="minorEastAsia" w:eastAsiaTheme="minorEastAsia" w:cstheme="minorEastAsia"/>
                <w:i w:val="0"/>
                <w:color w:val="000000"/>
                <w:kern w:val="0"/>
                <w:sz w:val="24"/>
                <w:szCs w:val="24"/>
                <w:highlight w:val="none"/>
                <w:u w:val="none"/>
                <w:lang w:val="en-US" w:eastAsia="zh-CN" w:bidi="ar"/>
              </w:rPr>
              <w:t>5厘米。</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12000</w:t>
            </w:r>
          </w:p>
        </w:tc>
      </w:tr>
      <w:tr>
        <w:tblPrEx>
          <w:shd w:val="clear" w:color="auto" w:fill="auto"/>
          <w:tblLayout w:type="fixed"/>
          <w:tblCellMar>
            <w:top w:w="0" w:type="dxa"/>
            <w:left w:w="0" w:type="dxa"/>
            <w:bottom w:w="0" w:type="dxa"/>
            <w:right w:w="0" w:type="dxa"/>
          </w:tblCellMar>
        </w:tblPrEx>
        <w:trPr>
          <w:trHeight w:val="593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手持钢筋切断器</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1台</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1461770</wp:posOffset>
                  </wp:positionV>
                  <wp:extent cx="1377950" cy="1082040"/>
                  <wp:effectExtent l="0" t="0" r="12700" b="3810"/>
                  <wp:wrapNone/>
                  <wp:docPr id="8" name="ID_5C0B6388E0544E5595796D9E245D58B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D_5C0B6388E0544E5595796D9E245D58B0" descr="/"/>
                          <pic:cNvPicPr>
                            <a:picLocks noChangeAspect="1"/>
                          </pic:cNvPicPr>
                        </pic:nvPicPr>
                        <pic:blipFill>
                          <a:blip r:embed="rId13"/>
                          <a:stretch>
                            <a:fillRect/>
                          </a:stretch>
                        </pic:blipFill>
                        <pic:spPr>
                          <a:xfrm>
                            <a:off x="0" y="0"/>
                            <a:ext cx="1377950" cy="1082040"/>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产品性能：</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1、高效微型钢筋速断器，可单手操作；</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2、简洁轻巧携带方便，机动性高适高空及户外作业；</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3、头部可360°旋转，适合各种工作场所的角度需求；</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4、切断刀刃四面可用；</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5、配辅助把手，更方便操作；</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6、黑暗照明灯。</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7、最大切断力：</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7.1 SD345异形钢筋：20mm；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7.2 PC钢筋HRC36：18mm；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7.3 弹簧钢HRC52：10mm；</w:t>
            </w:r>
          </w:p>
          <w:p>
            <w:pPr>
              <w:keepNext w:val="0"/>
              <w:keepLines w:val="0"/>
              <w:widowControl/>
              <w:suppressLineNumbers w:val="0"/>
              <w:jc w:val="left"/>
              <w:textAlignment w:val="center"/>
              <w:rPr>
                <w:rStyle w:val="11"/>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7.4 </w:t>
            </w:r>
            <w:r>
              <w:rPr>
                <w:rStyle w:val="11"/>
                <w:rFonts w:hint="eastAsia" w:asciiTheme="minorEastAsia" w:hAnsiTheme="minorEastAsia" w:eastAsiaTheme="minorEastAsia" w:cstheme="minorEastAsia"/>
                <w:sz w:val="24"/>
                <w:szCs w:val="24"/>
                <w:lang w:val="en-US" w:eastAsia="zh-CN" w:bidi="ar"/>
              </w:rPr>
              <w:t>电   源：18V/DC；</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Style w:val="11"/>
                <w:rFonts w:hint="eastAsia" w:asciiTheme="minorEastAsia" w:hAnsiTheme="minorEastAsia" w:eastAsiaTheme="minorEastAsia" w:cstheme="minorEastAsia"/>
                <w:sz w:val="24"/>
                <w:szCs w:val="24"/>
                <w:lang w:val="en-US" w:eastAsia="zh-CN" w:bidi="ar"/>
              </w:rPr>
              <w:t xml:space="preserve">7.5 </w:t>
            </w:r>
            <w:r>
              <w:rPr>
                <w:rFonts w:hint="eastAsia" w:asciiTheme="minorEastAsia" w:hAnsiTheme="minorEastAsia" w:eastAsiaTheme="minorEastAsia" w:cstheme="minorEastAsia"/>
                <w:i w:val="0"/>
                <w:color w:val="000000"/>
                <w:kern w:val="0"/>
                <w:sz w:val="24"/>
                <w:szCs w:val="24"/>
                <w:u w:val="none"/>
                <w:lang w:val="en-US" w:eastAsia="zh-CN" w:bidi="ar"/>
              </w:rPr>
              <w:t>充电器电源：220V 50-60Hz；</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7.6 电池型号：B1845；</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7.7 充电时间：30分钟；</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7.8 电池容量：2.0Ah；</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7.9 切断速度：≥8秒（18mm）；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w:t>
            </w:r>
            <w:r>
              <w:rPr>
                <w:rFonts w:hint="eastAsia" w:asciiTheme="minorEastAsia" w:hAnsiTheme="minorEastAsia" w:eastAsiaTheme="minorEastAsia" w:cstheme="minorEastAsia"/>
                <w:i w:val="0"/>
                <w:color w:val="000000"/>
                <w:kern w:val="0"/>
                <w:sz w:val="24"/>
                <w:szCs w:val="24"/>
                <w:highlight w:val="none"/>
                <w:u w:val="none"/>
                <w:lang w:val="en-US" w:eastAsia="zh-CN" w:bidi="ar"/>
              </w:rPr>
              <w:t>10 电池充电器：DC20CH37-30；</w:t>
            </w:r>
          </w:p>
          <w:p>
            <w:pPr>
              <w:keepNext w:val="0"/>
              <w:keepLines w:val="0"/>
              <w:widowControl/>
              <w:suppressLineNumbers w:val="0"/>
              <w:jc w:val="left"/>
              <w:textAlignment w:val="center"/>
              <w:rPr>
                <w:rStyle w:val="11"/>
                <w:rFonts w:hint="eastAsia"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 xml:space="preserve">7.11 </w:t>
            </w:r>
            <w:r>
              <w:rPr>
                <w:rStyle w:val="11"/>
                <w:rFonts w:hint="eastAsia" w:asciiTheme="minorEastAsia" w:hAnsiTheme="minorEastAsia" w:eastAsiaTheme="minorEastAsia" w:cstheme="minorEastAsia"/>
                <w:sz w:val="24"/>
                <w:szCs w:val="24"/>
                <w:highlight w:val="none"/>
                <w:lang w:val="en-US" w:eastAsia="zh-CN" w:bidi="ar"/>
              </w:rPr>
              <w:t>重  量：8kg（包括电池）；</w:t>
            </w:r>
          </w:p>
          <w:p>
            <w:pPr>
              <w:keepNext w:val="0"/>
              <w:keepLines w:val="0"/>
              <w:widowControl/>
              <w:suppressLineNumbers w:val="0"/>
              <w:jc w:val="left"/>
              <w:textAlignment w:val="center"/>
              <w:rPr>
                <w:rStyle w:val="11"/>
                <w:rFonts w:hint="eastAsia" w:asciiTheme="minorEastAsia" w:hAnsiTheme="minorEastAsia" w:eastAsiaTheme="minorEastAsia" w:cstheme="minorEastAsia"/>
                <w:sz w:val="24"/>
                <w:szCs w:val="24"/>
                <w:highlight w:val="yellow"/>
                <w:lang w:val="en-US" w:eastAsia="zh-CN" w:bidi="ar"/>
              </w:rPr>
            </w:pPr>
            <w:r>
              <w:rPr>
                <w:rStyle w:val="11"/>
                <w:rFonts w:hint="eastAsia" w:asciiTheme="minorEastAsia" w:hAnsiTheme="minorEastAsia" w:eastAsiaTheme="minorEastAsia" w:cstheme="minorEastAsia"/>
                <w:sz w:val="24"/>
                <w:szCs w:val="24"/>
                <w:highlight w:val="none"/>
                <w:lang w:val="en-US" w:eastAsia="zh-CN" w:bidi="ar"/>
              </w:rPr>
              <w:t xml:space="preserve">7.12  </w:t>
            </w:r>
            <w:r>
              <w:rPr>
                <w:rFonts w:hint="eastAsia" w:asciiTheme="minorEastAsia" w:hAnsiTheme="minorEastAsia" w:eastAsiaTheme="minorEastAsia" w:cstheme="minorEastAsia"/>
                <w:i w:val="0"/>
                <w:color w:val="000000"/>
                <w:kern w:val="0"/>
                <w:sz w:val="24"/>
                <w:szCs w:val="24"/>
                <w:u w:val="none"/>
                <w:lang w:val="en-US" w:eastAsia="zh-CN" w:bidi="ar"/>
              </w:rPr>
              <w:t>产品尺寸：</w:t>
            </w:r>
            <w:r>
              <w:rPr>
                <w:rFonts w:hint="eastAsia" w:asciiTheme="minorEastAsia" w:hAnsiTheme="minorEastAsia" w:eastAsiaTheme="minorEastAsia" w:cstheme="minorEastAsia"/>
                <w:i w:val="0"/>
                <w:color w:val="000000"/>
                <w:kern w:val="0"/>
                <w:sz w:val="24"/>
                <w:szCs w:val="24"/>
                <w:highlight w:val="none"/>
                <w:u w:val="none"/>
                <w:lang w:val="en-US" w:eastAsia="zh-CN" w:bidi="ar"/>
              </w:rPr>
              <w:t>460mm×98mm×240mm（不含把手）。</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7500</w:t>
            </w:r>
          </w:p>
        </w:tc>
      </w:tr>
      <w:tr>
        <w:tblPrEx>
          <w:shd w:val="clear" w:color="auto" w:fill="auto"/>
          <w:tblLayout w:type="fixed"/>
          <w:tblCellMar>
            <w:top w:w="0" w:type="dxa"/>
            <w:left w:w="0" w:type="dxa"/>
            <w:bottom w:w="0" w:type="dxa"/>
            <w:right w:w="0" w:type="dxa"/>
          </w:tblCellMar>
        </w:tblPrEx>
        <w:trPr>
          <w:trHeight w:val="32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无齿锯</w:t>
            </w:r>
          </w:p>
        </w:tc>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1台</w:t>
            </w:r>
          </w:p>
        </w:tc>
        <w:tc>
          <w:tcPr>
            <w:tcW w:w="23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316230</wp:posOffset>
                  </wp:positionV>
                  <wp:extent cx="1377950" cy="1012825"/>
                  <wp:effectExtent l="0" t="0" r="12700" b="15875"/>
                  <wp:wrapSquare wrapText="bothSides"/>
                  <wp:docPr id="11" name="ID_7A3EA8FEB3FE4395B520D336D4697B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_7A3EA8FEB3FE4395B520D336D4697BD2" descr="/"/>
                          <pic:cNvPicPr>
                            <a:picLocks noChangeAspect="1"/>
                          </pic:cNvPicPr>
                        </pic:nvPicPr>
                        <pic:blipFill>
                          <a:blip r:embed="rId14"/>
                          <a:stretch>
                            <a:fillRect/>
                          </a:stretch>
                        </pic:blipFill>
                        <pic:spPr>
                          <a:xfrm>
                            <a:off x="0" y="0"/>
                            <a:ext cx="1377950" cy="1012825"/>
                          </a:xfrm>
                          <a:prstGeom prst="rect">
                            <a:avLst/>
                          </a:prstGeom>
                          <a:noFill/>
                          <a:ln>
                            <a:noFill/>
                          </a:ln>
                        </pic:spPr>
                      </pic:pic>
                    </a:graphicData>
                  </a:graphic>
                </wp:anchor>
              </w:drawing>
            </w:r>
          </w:p>
        </w:tc>
        <w:tc>
          <w:tcPr>
            <w:tcW w:w="27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排量：85CC；</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额定功率：3.7kw；</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切割直径：300mm；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切割轮（mm）：特制专用薄片砂轮片或金刚石锯片(外圆直径300，厚度3-6，内孔25.4；</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切割深度：100mm；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最</w:t>
            </w:r>
            <w:r>
              <w:rPr>
                <w:rFonts w:hint="eastAsia" w:asciiTheme="minorEastAsia" w:hAnsiTheme="minorEastAsia" w:eastAsiaTheme="minorEastAsia" w:cstheme="minorEastAsia"/>
                <w:i w:val="0"/>
                <w:color w:val="000000"/>
                <w:kern w:val="0"/>
                <w:sz w:val="24"/>
                <w:szCs w:val="24"/>
                <w:highlight w:val="none"/>
                <w:u w:val="none"/>
                <w:lang w:val="en-US" w:eastAsia="zh-CN" w:bidi="ar"/>
              </w:rPr>
              <w:t>高转速：7000r/min；</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外型尺寸：742mm*274mm*382mm；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highlight w:val="none"/>
                <w:u w:val="none"/>
                <w:lang w:val="en-US" w:eastAsia="zh-CN" w:bidi="ar"/>
              </w:rPr>
              <w:t>净重：12kg</w:t>
            </w:r>
          </w:p>
        </w:tc>
        <w:tc>
          <w:tcPr>
            <w:tcW w:w="7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4500</w:t>
            </w:r>
          </w:p>
        </w:tc>
      </w:tr>
      <w:tr>
        <w:tblPrEx>
          <w:shd w:val="clear" w:color="auto" w:fill="auto"/>
          <w:tblLayout w:type="fixed"/>
          <w:tblCellMar>
            <w:top w:w="0" w:type="dxa"/>
            <w:left w:w="0" w:type="dxa"/>
            <w:bottom w:w="0" w:type="dxa"/>
            <w:right w:w="0" w:type="dxa"/>
          </w:tblCellMar>
        </w:tblPrEx>
        <w:trPr>
          <w:trHeight w:val="4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368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合 计</w:t>
            </w:r>
          </w:p>
        </w:tc>
        <w:tc>
          <w:tcPr>
            <w:tcW w:w="2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33790</w:t>
            </w:r>
          </w:p>
        </w:tc>
      </w:tr>
    </w:tbl>
    <w:p>
      <w:pPr>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2、押解约束类</w:t>
      </w:r>
    </w:p>
    <w:tbl>
      <w:tblPr>
        <w:tblStyle w:val="8"/>
        <w:tblW w:w="8336" w:type="dxa"/>
        <w:tblInd w:w="0" w:type="dxa"/>
        <w:shd w:val="clear" w:color="auto" w:fill="auto"/>
        <w:tblLayout w:type="fixed"/>
        <w:tblCellMar>
          <w:top w:w="0" w:type="dxa"/>
          <w:left w:w="0" w:type="dxa"/>
          <w:bottom w:w="0" w:type="dxa"/>
          <w:right w:w="0" w:type="dxa"/>
        </w:tblCellMar>
      </w:tblPr>
      <w:tblGrid>
        <w:gridCol w:w="421"/>
        <w:gridCol w:w="758"/>
        <w:gridCol w:w="758"/>
        <w:gridCol w:w="2412"/>
        <w:gridCol w:w="2471"/>
        <w:gridCol w:w="758"/>
        <w:gridCol w:w="758"/>
      </w:tblGrid>
      <w:tr>
        <w:tblPrEx>
          <w:shd w:val="clear" w:color="auto" w:fill="auto"/>
          <w:tblLayout w:type="fixed"/>
          <w:tblCellMar>
            <w:top w:w="0" w:type="dxa"/>
            <w:left w:w="0" w:type="dxa"/>
            <w:bottom w:w="0" w:type="dxa"/>
            <w:right w:w="0" w:type="dxa"/>
          </w:tblCellMar>
        </w:tblPrEx>
        <w:trPr>
          <w:trHeight w:val="66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名称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图片</w:t>
            </w:r>
          </w:p>
        </w:tc>
        <w:tc>
          <w:tcPr>
            <w:tcW w:w="24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参数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单价</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金额</w:t>
            </w:r>
          </w:p>
        </w:tc>
      </w:tr>
      <w:tr>
        <w:tblPrEx>
          <w:shd w:val="clear" w:color="auto" w:fill="auto"/>
          <w:tblLayout w:type="fixed"/>
          <w:tblCellMar>
            <w:top w:w="0" w:type="dxa"/>
            <w:left w:w="0" w:type="dxa"/>
            <w:bottom w:w="0" w:type="dxa"/>
            <w:right w:w="0" w:type="dxa"/>
          </w:tblCellMar>
        </w:tblPrEx>
        <w:trPr>
          <w:trHeight w:val="5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约束带</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52070</wp:posOffset>
                  </wp:positionH>
                  <wp:positionV relativeFrom="paragraph">
                    <wp:posOffset>109220</wp:posOffset>
                  </wp:positionV>
                  <wp:extent cx="1344930" cy="1028700"/>
                  <wp:effectExtent l="0" t="0" r="7620" b="0"/>
                  <wp:wrapSquare wrapText="bothSides"/>
                  <wp:docPr id="12" name="ID_F85EC1725F1B41B1BF6C5D11C68CFB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D_F85EC1725F1B41B1BF6C5D11C68CFB45" descr="/"/>
                          <pic:cNvPicPr>
                            <a:picLocks noChangeAspect="1"/>
                          </pic:cNvPicPr>
                        </pic:nvPicPr>
                        <pic:blipFill>
                          <a:blip r:embed="rId15"/>
                          <a:stretch>
                            <a:fillRect/>
                          </a:stretch>
                        </pic:blipFill>
                        <pic:spPr>
                          <a:xfrm>
                            <a:off x="0" y="0"/>
                            <a:ext cx="1344930" cy="102870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警用约束带携带方便，操作简单，可对犯罪嫌疑人、醉酒者、精神病人等短时间约束。</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1、材质：尼龙编织；</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2、拉力强度：4000N；</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3、重量：1kg；</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4、功能：上身固定约束</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执行标准：GA 814-2009 警用约束带。</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175</w:t>
            </w:r>
          </w:p>
        </w:tc>
      </w:tr>
      <w:tr>
        <w:tblPrEx>
          <w:shd w:val="clear" w:color="auto" w:fill="auto"/>
          <w:tblLayout w:type="fixed"/>
          <w:tblCellMar>
            <w:top w:w="0" w:type="dxa"/>
            <w:left w:w="0" w:type="dxa"/>
            <w:bottom w:w="0" w:type="dxa"/>
            <w:right w:w="0" w:type="dxa"/>
          </w:tblCellMar>
        </w:tblPrEx>
        <w:trPr>
          <w:trHeight w:val="27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全身约束带</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231775</wp:posOffset>
                  </wp:positionV>
                  <wp:extent cx="1377950" cy="603250"/>
                  <wp:effectExtent l="0" t="0" r="12700" b="6350"/>
                  <wp:wrapSquare wrapText="bothSides"/>
                  <wp:docPr id="13" name="ID_349EE6D0AE01495A8CE14DE2DB21CA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_349EE6D0AE01495A8CE14DE2DB21CAA4" descr="/"/>
                          <pic:cNvPicPr>
                            <a:picLocks noChangeAspect="1"/>
                          </pic:cNvPicPr>
                        </pic:nvPicPr>
                        <pic:blipFill>
                          <a:blip r:embed="rId16"/>
                          <a:stretch>
                            <a:fillRect/>
                          </a:stretch>
                        </pic:blipFill>
                        <pic:spPr>
                          <a:xfrm>
                            <a:off x="0" y="0"/>
                            <a:ext cx="1377950" cy="60325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带体材料：尼龙、牛津（根据客户要求定制）；</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1、规格：S/M/L；</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2、重量：1kg；</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3、调节方式：单孔调节；</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4、锁头形式：插扣型、磁吸盘；</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5、执行标准：GA 814-2009 警用约束带。</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2250</w:t>
            </w:r>
          </w:p>
        </w:tc>
      </w:tr>
      <w:tr>
        <w:tblPrEx>
          <w:shd w:val="clear" w:color="auto" w:fill="auto"/>
          <w:tblLayout w:type="fixed"/>
          <w:tblCellMar>
            <w:top w:w="0" w:type="dxa"/>
            <w:left w:w="0" w:type="dxa"/>
            <w:bottom w:w="0" w:type="dxa"/>
            <w:right w:w="0" w:type="dxa"/>
          </w:tblCellMar>
        </w:tblPrEx>
        <w:trPr>
          <w:trHeight w:val="18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约束毯</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603885</wp:posOffset>
                  </wp:positionV>
                  <wp:extent cx="1377950" cy="1211580"/>
                  <wp:effectExtent l="0" t="0" r="12700" b="7620"/>
                  <wp:wrapSquare wrapText="bothSides"/>
                  <wp:docPr id="14" name="ID_58ABDD748404438E9A557756C84F25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D_58ABDD748404438E9A557756C84F2595" descr="/"/>
                          <pic:cNvPicPr>
                            <a:picLocks noChangeAspect="1"/>
                          </pic:cNvPicPr>
                        </pic:nvPicPr>
                        <pic:blipFill>
                          <a:blip r:embed="rId17"/>
                          <a:stretch>
                            <a:fillRect/>
                          </a:stretch>
                        </pic:blipFill>
                        <pic:spPr>
                          <a:xfrm>
                            <a:off x="0" y="0"/>
                            <a:ext cx="1377950" cy="121158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约束毯”是一种适合法制社会、更具“人性化”的新型约束器材，适用于处置“柔性突发事件”。操作简便，约束牢固可靠。同时，约束毯凭借其易于携带、约束牢固、移动方便等特点，在面对各类自然灾害时，能够作为软担架，在救援救灾工作中起到转移伤者、拯救生命的作用。</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规格参数：</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面料：帆布；</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重量：4.1kg；</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结构尺寸：1714mm（长）×1100mm（宽）；</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执行标准：GA/T</w:t>
            </w:r>
            <w:r>
              <w:rPr>
                <w:rFonts w:hint="eastAsia" w:asciiTheme="minorEastAsia" w:hAnsiTheme="minorEastAsia" w:eastAsiaTheme="minorEastAsia" w:cstheme="minorEastAsia"/>
                <w:sz w:val="24"/>
                <w:szCs w:val="24"/>
                <w:lang w:val="en-US" w:eastAsia="zh-CN"/>
              </w:rPr>
              <w:t xml:space="preserve"> 375-2016警戒带。</w:t>
            </w:r>
          </w:p>
          <w:p>
            <w:pPr>
              <w:keepNext w:val="0"/>
              <w:keepLines w:val="0"/>
              <w:widowControl/>
              <w:numPr>
                <w:ilvl w:val="0"/>
                <w:numId w:val="6"/>
              </w:numPr>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lang w:val="en-US" w:eastAsia="zh-CN"/>
              </w:rPr>
              <w:t>需提供由国家认可的第三方检验检测机构出具符合“GA/T 375-2016警戒带”标准的检测报告复印件。【佐证材料1】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1750</w:t>
            </w:r>
          </w:p>
        </w:tc>
      </w:tr>
      <w:tr>
        <w:tblPrEx>
          <w:shd w:val="clear" w:color="auto" w:fill="auto"/>
          <w:tblLayout w:type="fixed"/>
          <w:tblCellMar>
            <w:top w:w="0" w:type="dxa"/>
            <w:left w:w="0" w:type="dxa"/>
            <w:bottom w:w="0" w:type="dxa"/>
            <w:right w:w="0" w:type="dxa"/>
          </w:tblCellMar>
        </w:tblPrEx>
        <w:trPr>
          <w:trHeight w:val="18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粘合式约束带</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2524125</wp:posOffset>
                  </wp:positionV>
                  <wp:extent cx="1377950" cy="990600"/>
                  <wp:effectExtent l="0" t="0" r="12700" b="0"/>
                  <wp:wrapSquare wrapText="bothSides"/>
                  <wp:docPr id="17" name="ID_CF69084D82724FA895E2C488D0170D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D_CF69084D82724FA895E2C488D0170D41" descr="/"/>
                          <pic:cNvPicPr>
                            <a:picLocks noChangeAspect="1"/>
                          </pic:cNvPicPr>
                        </pic:nvPicPr>
                        <pic:blipFill>
                          <a:blip r:embed="rId18"/>
                          <a:stretch>
                            <a:fillRect/>
                          </a:stretch>
                        </pic:blipFill>
                        <pic:spPr>
                          <a:xfrm>
                            <a:off x="0" y="0"/>
                            <a:ext cx="1377950" cy="99060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约束毯是一种极具人性化的新型约束器材。当执法人员处置“柔性事件”时，既能对行为嫌疑人起到约束作用，又能使其法理上的人格尊严得到维护，同时也可作为自然灾害、交通事故等意外发生时，用来实施救援的软担架使用，本产品自投放市场以来因它的实用性、多用途而得到广泛的运用。</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2、技术参数：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颜色：黑色</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上身约束带尺寸：1500mm（长）×300mm（宽）</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辅助双绑绳：3400mm（长）×25mm（宽）</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下身绑腿约束带尺寸：1000mm（长）×100mm（宽）</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辅助双绑绳：1600mm（长）×25mm（宽）</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质量：1.1kg（其中上身：930克，腿部：165克）</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材质：1680DPu</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面料缝合强力：约束毯在缝合面施加680N的拉力，不出现分裂的现象</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面料断裂强力：面料在经向施加1190N的拉力，不出现断裂现象；面料在纬向施加858N的拉力，不出现断裂现象</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抗拉强度：将提带固定于拉力试验机上，以5mm的速度施加拉力至500N，保持30s，期间带体不断裂</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锦丝搭扣带：扣合强力为10.3N/cm²；撕揭强度为1.6N/cm；耐用度5000次后扣和强度为5.2N/cm²</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执行标准：GA814-2009警用约束带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u w:val="single"/>
                <w:lang w:val="en-US" w:eastAsia="zh-CN"/>
              </w:rPr>
              <w:t>需提供由国家认可的第三方检验检测机构出具符合“GA814-2009警用约束带”标准的检测报告复印件。【佐证材料2】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900</w:t>
            </w:r>
          </w:p>
        </w:tc>
      </w:tr>
      <w:tr>
        <w:tblPrEx>
          <w:shd w:val="clear" w:color="auto" w:fill="auto"/>
          <w:tblLayout w:type="fixed"/>
          <w:tblCellMar>
            <w:top w:w="0" w:type="dxa"/>
            <w:left w:w="0" w:type="dxa"/>
            <w:bottom w:w="0" w:type="dxa"/>
            <w:right w:w="0" w:type="dxa"/>
          </w:tblCellMar>
        </w:tblPrEx>
        <w:trPr>
          <w:trHeight w:val="18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一次性手铐</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60副</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299720</wp:posOffset>
                  </wp:positionH>
                  <wp:positionV relativeFrom="paragraph">
                    <wp:posOffset>19050</wp:posOffset>
                  </wp:positionV>
                  <wp:extent cx="809625" cy="826770"/>
                  <wp:effectExtent l="0" t="0" r="9525" b="11430"/>
                  <wp:wrapSquare wrapText="bothSides"/>
                  <wp:docPr id="50" name="ID_93192DE8A20646D7B28AAA8C41CD4AE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D_93192DE8A20646D7B28AAA8C41CD4AEB" descr="/"/>
                          <pic:cNvPicPr>
                            <a:picLocks noChangeAspect="1"/>
                          </pic:cNvPicPr>
                        </pic:nvPicPr>
                        <pic:blipFill>
                          <a:blip r:embed="rId19"/>
                          <a:stretch>
                            <a:fillRect/>
                          </a:stretch>
                        </pic:blipFill>
                        <pic:spPr>
                          <a:xfrm>
                            <a:off x="0" y="0"/>
                            <a:ext cx="809625" cy="82677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材质：PA66尼龙</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长度：70厘米±2厘米</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宽度：1厘米±0.1厘米</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优点：可用新标手铐钥匙打开，增加使用次数。</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2100</w:t>
            </w:r>
          </w:p>
        </w:tc>
      </w:tr>
      <w:tr>
        <w:tblPrEx>
          <w:shd w:val="clear" w:color="auto" w:fill="auto"/>
          <w:tblLayout w:type="fixed"/>
          <w:tblCellMar>
            <w:top w:w="0" w:type="dxa"/>
            <w:left w:w="0" w:type="dxa"/>
            <w:bottom w:w="0" w:type="dxa"/>
            <w:right w:w="0" w:type="dxa"/>
          </w:tblCellMar>
        </w:tblPrEx>
        <w:trPr>
          <w:trHeight w:val="3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电子脚铐系统</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19050</wp:posOffset>
                  </wp:positionH>
                  <wp:positionV relativeFrom="paragraph">
                    <wp:posOffset>3079750</wp:posOffset>
                  </wp:positionV>
                  <wp:extent cx="1377950" cy="1393190"/>
                  <wp:effectExtent l="0" t="0" r="12700" b="16510"/>
                  <wp:wrapSquare wrapText="bothSides"/>
                  <wp:docPr id="51" name="ID_22212ADD663D45EBA3F3DA4FC509EDFF"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D_22212ADD663D45EBA3F3DA4FC509EDFF" descr="/"/>
                          <pic:cNvPicPr>
                            <a:picLocks noChangeAspect="1"/>
                          </pic:cNvPicPr>
                        </pic:nvPicPr>
                        <pic:blipFill>
                          <a:blip r:embed="rId20"/>
                          <a:stretch>
                            <a:fillRect/>
                          </a:stretch>
                        </pic:blipFill>
                        <pic:spPr>
                          <a:xfrm>
                            <a:off x="0" y="0"/>
                            <a:ext cx="1377950" cy="139319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规格参数：</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尺寸大小：90mm*D115mm；</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重量：420g±10g；</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开机方式：磁控开关；</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激活时间：2-3秒开启脚环</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持续工作（电击）时间：2小时以上；</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待机时间：36小时；</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充电时间：小于2小时（正常使用一至两个月只须充电2天）；</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电池：3.7伏锂电池（1万次充电）；</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输出电压：300-380伏（最多）；</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输出电流：0.8-3毫安；</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输出频率：10-30Hz；</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遥控距离：空旷场地条件下不小于200米；</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IP55级防护，1米防水，2米防跌落；</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报警音量≥70dB。</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功能说明：</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1、电子脉冲功能，对皮肤表面无任何创伤爆闪+蜂鸣，佩戴者脱离管控范围自动发出警报。</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2、配备遥控管控终端，可一对一对佩戴电子脚环者进行管控。</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活动范围管控，设备佩戴者不得脱离遥控管控终端一旦脱离设备立即启动警报状态，同时启动电击，爆闪，蜂鸣（空旷地带以遥控管控终端位置为基准自动锁定在以遥控管控终端为中心的方圆30m以内，非空旷地带自动锁定在以遥控管控终端为中心的方圆15m左右）。</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4、设备整体采用完美的人性化设计，符合人体工程学原理。</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5、佩带在押解对象脚踝处，不影响行走。</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6、具备特殊设计机括锁，非专配钥匙无法拆卸。</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7、GSM + GPS + 北斗多重定位开阔地带 GPS 定位精度&lt;10m,实时监测上报佩戴者位置信息。</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8、实时上报佩戴者生命体征信息（心率，体温，血压）</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9、配备智能手机终端，可随时随地实时查阅佩戴人员位置信息及生命体征数据信息，实现无限距离远程管控。</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10、IP55 级防水，适用于各种天气环境。</w:t>
            </w:r>
          </w:p>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11、生命特征探测（心率，血压，体温）。</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23000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23000</w:t>
            </w:r>
          </w:p>
        </w:tc>
      </w:tr>
      <w:tr>
        <w:tblPrEx>
          <w:tblLayout w:type="fixed"/>
          <w:tblCellMar>
            <w:top w:w="0" w:type="dxa"/>
            <w:left w:w="0" w:type="dxa"/>
            <w:bottom w:w="0" w:type="dxa"/>
            <w:right w:w="0" w:type="dxa"/>
          </w:tblCellMar>
        </w:tblPrEx>
        <w:trPr>
          <w:trHeight w:val="3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链铐</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19050</wp:posOffset>
                  </wp:positionH>
                  <wp:positionV relativeFrom="paragraph">
                    <wp:posOffset>592455</wp:posOffset>
                  </wp:positionV>
                  <wp:extent cx="1109980" cy="1483360"/>
                  <wp:effectExtent l="0" t="0" r="13970" b="2540"/>
                  <wp:wrapSquare wrapText="bothSides"/>
                  <wp:docPr id="52" name="ID_E3A7DB87D1274FC8B438EE7CB8255EF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D_E3A7DB87D1274FC8B438EE7CB8255EF2" descr="/"/>
                          <pic:cNvPicPr>
                            <a:picLocks noChangeAspect="1"/>
                          </pic:cNvPicPr>
                        </pic:nvPicPr>
                        <pic:blipFill>
                          <a:blip r:embed="rId21"/>
                          <a:stretch>
                            <a:fillRect/>
                          </a:stretch>
                        </pic:blipFill>
                        <pic:spPr>
                          <a:xfrm>
                            <a:off x="0" y="0"/>
                            <a:ext cx="1109980" cy="148336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结构：锁销、锁孔、大圆环、钥匙孔、锁体、锁链、小圆环。</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材质：碳钢镀镍</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重量：≤390 克。</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 xml:space="preserve">产品特点： </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1、链状结构防撬防拨, 该产品牢固度达到国家GA/T172-2005标准；</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2、往异物上锁铐的范围广，同时固定身体部位多；</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3、对人的颈部、手腕、脚腕三大关节均可铐锁；</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4、铐锁人数多,一副链锁铐最多可铐锁四人；</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5、可多人多铐无限连接使用；</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6、可做脚镣使用；</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7、必要时警员可用其当做钢鞭做防卫武器使用</w:t>
            </w:r>
            <w:r>
              <w:rPr>
                <w:rFonts w:hint="eastAsia" w:asciiTheme="minorEastAsia" w:hAnsiTheme="minorEastAsia" w:cstheme="minorEastAsia"/>
                <w:b w:val="0"/>
                <w:bCs w:val="0"/>
                <w:kern w:val="2"/>
                <w:sz w:val="24"/>
                <w:szCs w:val="24"/>
                <w:lang w:val="en-US" w:eastAsia="zh-CN" w:bidi="ar-SA"/>
              </w:rPr>
              <w:t>。</w:t>
            </w:r>
            <w:r>
              <w:rPr>
                <w:rFonts w:hint="eastAsia" w:asciiTheme="minorEastAsia" w:hAnsiTheme="minorEastAsia" w:eastAsiaTheme="minorEastAsia" w:cstheme="minorEastAsia"/>
                <w:b w:val="0"/>
                <w:bCs w:val="0"/>
                <w:kern w:val="2"/>
                <w:sz w:val="24"/>
                <w:szCs w:val="24"/>
                <w:lang w:val="en-US" w:eastAsia="zh-CN" w:bidi="ar-SA"/>
              </w:rPr>
              <w:t xml:space="preserve">    </w:t>
            </w:r>
            <w:r>
              <w:rPr>
                <w:rFonts w:hint="eastAsia" w:asciiTheme="minorEastAsia" w:hAnsiTheme="minorEastAsia" w:eastAsiaTheme="minorEastAsia" w:cstheme="minorEastAsia"/>
                <w:sz w:val="24"/>
                <w:szCs w:val="24"/>
                <w:lang w:val="en-US" w:eastAsia="zh-CN"/>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175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875</w:t>
            </w:r>
          </w:p>
        </w:tc>
      </w:tr>
      <w:tr>
        <w:tblPrEx>
          <w:shd w:val="clear" w:color="auto" w:fill="auto"/>
          <w:tblLayout w:type="fixed"/>
          <w:tblCellMar>
            <w:top w:w="0" w:type="dxa"/>
            <w:left w:w="0" w:type="dxa"/>
            <w:bottom w:w="0" w:type="dxa"/>
            <w:right w:w="0" w:type="dxa"/>
          </w:tblCellMar>
        </w:tblPrEx>
        <w:trPr>
          <w:trHeight w:val="3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脚镣（1）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5副</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7216" behindDoc="0" locked="0" layoutInCell="1" allowOverlap="1">
                  <wp:simplePos x="0" y="0"/>
                  <wp:positionH relativeFrom="column">
                    <wp:posOffset>99695</wp:posOffset>
                  </wp:positionH>
                  <wp:positionV relativeFrom="paragraph">
                    <wp:posOffset>19050</wp:posOffset>
                  </wp:positionV>
                  <wp:extent cx="1297305" cy="1038225"/>
                  <wp:effectExtent l="0" t="0" r="17145" b="9525"/>
                  <wp:wrapNone/>
                  <wp:docPr id="53" name="ID_EFE285AAD5EA4E38B04D4D0183CD647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D_EFE285AAD5EA4E38B04D4D0183CD647A" descr="/"/>
                          <pic:cNvPicPr>
                            <a:picLocks noChangeAspect="1"/>
                          </pic:cNvPicPr>
                        </pic:nvPicPr>
                        <pic:blipFill>
                          <a:blip r:embed="rId22"/>
                          <a:stretch>
                            <a:fillRect/>
                          </a:stretch>
                        </pic:blipFill>
                        <pic:spPr>
                          <a:xfrm>
                            <a:off x="0" y="0"/>
                            <a:ext cx="1297305" cy="1038225"/>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材质：优质碳化钢；</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重量：1.55kg</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总长：300mm</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最小直径：60mm</w:t>
            </w:r>
          </w:p>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最大直径：90mm</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执行标准：GA237-2018金属脚镣.</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600</w:t>
            </w:r>
          </w:p>
        </w:tc>
      </w:tr>
      <w:tr>
        <w:tblPrEx>
          <w:shd w:val="clear" w:color="auto" w:fill="auto"/>
          <w:tblLayout w:type="fixed"/>
          <w:tblCellMar>
            <w:top w:w="0" w:type="dxa"/>
            <w:left w:w="0" w:type="dxa"/>
            <w:bottom w:w="0" w:type="dxa"/>
            <w:right w:w="0" w:type="dxa"/>
          </w:tblCellMar>
        </w:tblPrEx>
        <w:trPr>
          <w:trHeight w:val="3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脚镣（2）</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5副</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19050</wp:posOffset>
                  </wp:positionH>
                  <wp:positionV relativeFrom="paragraph">
                    <wp:posOffset>1706245</wp:posOffset>
                  </wp:positionV>
                  <wp:extent cx="1377950" cy="1073785"/>
                  <wp:effectExtent l="0" t="0" r="12700" b="12065"/>
                  <wp:wrapSquare wrapText="bothSides"/>
                  <wp:docPr id="54" name="ID_C769F95F761B415F9F359CDAD05566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D_C769F95F761B415F9F359CDAD0556660" descr="/"/>
                          <pic:cNvPicPr>
                            <a:picLocks noChangeAspect="1"/>
                          </pic:cNvPicPr>
                        </pic:nvPicPr>
                        <pic:blipFill>
                          <a:blip r:embed="rId23"/>
                          <a:stretch>
                            <a:fillRect/>
                          </a:stretch>
                        </pic:blipFill>
                        <pic:spPr>
                          <a:xfrm>
                            <a:off x="0" y="0"/>
                            <a:ext cx="1377950" cy="1073785"/>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1、金属脚镣，钥匙互为开型；</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2、金属脚铐表面光滑、无棱角和毛刺等缺陷，各连接部位圆滑。漆膜均匀，无气泡和脱落等现象。金属脚铐的左、右镣体形状一致，无明显弯曲；</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3、重量：不大于2.0KG；</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4、螺扣型，H：约85mm， B：约90mm；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5、耐腐蚀性：金属脚镣耐腐蚀等级为：7</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级（喷雾周期为8H）；</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6、耐用度：工作次数不小于3000次循环；</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7、灵活度：钥匙能自然插入金属脚镣的锁芯，插拔流畅，开启和锁闭灵活，各连接部位转动灵活；</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8、金属脚镣的锁闭紧固件应用专用工具开启。涂漆部件的漆膜附着力不低于4级，防拔净工作时间不低于2分钟；</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9、脚镣横向、纵向静拉力实验：在同一幅金属脚镣上，舌簧型金属脚镣在锁闭状态下，分别施加2500N纵向静拉力和2500N横向静拉力，保持30S，期间金属脚镣未被拉开，实验后无永久变形或裂缝；</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10、耐用度：金属脚镣的工作次数不小于3000次循环；</w:t>
            </w:r>
          </w:p>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11、产品执行标准：GA237-2018金属脚镣。</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160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800</w:t>
            </w:r>
          </w:p>
        </w:tc>
      </w:tr>
      <w:tr>
        <w:tblPrEx>
          <w:shd w:val="clear" w:color="auto" w:fill="auto"/>
          <w:tblLayout w:type="fixed"/>
          <w:tblCellMar>
            <w:top w:w="0" w:type="dxa"/>
            <w:left w:w="0" w:type="dxa"/>
            <w:bottom w:w="0" w:type="dxa"/>
            <w:right w:w="0" w:type="dxa"/>
          </w:tblCellMar>
        </w:tblPrEx>
        <w:trPr>
          <w:trHeight w:val="33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75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脚铐</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5副</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90805</wp:posOffset>
                  </wp:positionH>
                  <wp:positionV relativeFrom="paragraph">
                    <wp:posOffset>19050</wp:posOffset>
                  </wp:positionV>
                  <wp:extent cx="1306195" cy="1219200"/>
                  <wp:effectExtent l="0" t="0" r="8255" b="0"/>
                  <wp:wrapSquare wrapText="bothSides"/>
                  <wp:docPr id="55" name="ID_9A11E7AAC4404D7EB9557A8E355BE8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D_9A11E7AAC4404D7EB9557A8E355BE847" descr="/"/>
                          <pic:cNvPicPr>
                            <a:picLocks noChangeAspect="1"/>
                          </pic:cNvPicPr>
                        </pic:nvPicPr>
                        <pic:blipFill>
                          <a:blip r:embed="rId24"/>
                          <a:stretch>
                            <a:fillRect/>
                          </a:stretch>
                        </pic:blipFill>
                        <pic:spPr>
                          <a:xfrm>
                            <a:off x="0" y="0"/>
                            <a:ext cx="1306195" cy="1219200"/>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7"/>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重量(克):640；</w:t>
            </w:r>
          </w:p>
          <w:p>
            <w:pPr>
              <w:pStyle w:val="2"/>
              <w:widowControl w:val="0"/>
              <w:numPr>
                <w:ilvl w:val="0"/>
                <w:numId w:val="7"/>
              </w:numPr>
              <w:ind w:left="0" w:leftChars="0" w:firstLine="0" w:firstLineChars="0"/>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最小开放尺寸:69mm</w:t>
            </w:r>
          </w:p>
          <w:p>
            <w:pPr>
              <w:pStyle w:val="2"/>
              <w:widowControl w:val="0"/>
              <w:numPr>
                <w:ilvl w:val="0"/>
                <w:numId w:val="0"/>
              </w:numPr>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3.环直径尺寸:58mm-102mm</w:t>
            </w:r>
          </w:p>
          <w:p>
            <w:pPr>
              <w:pStyle w:val="2"/>
              <w:widowControl w:val="0"/>
              <w:numPr>
                <w:ilvl w:val="0"/>
                <w:numId w:val="0"/>
              </w:numPr>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4.环直径尺寸: 58mm-102mm；</w:t>
            </w:r>
          </w:p>
          <w:p>
            <w:pPr>
              <w:pStyle w:val="2"/>
              <w:widowControl w:val="0"/>
              <w:numPr>
                <w:ilvl w:val="0"/>
                <w:numId w:val="0"/>
              </w:numPr>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5.全长:700mm；</w:t>
            </w:r>
          </w:p>
          <w:p>
            <w:pPr>
              <w:pStyle w:val="2"/>
              <w:widowControl w:val="0"/>
              <w:numPr>
                <w:ilvl w:val="0"/>
                <w:numId w:val="0"/>
              </w:numPr>
              <w:jc w:val="both"/>
              <w:textAlignment w:val="baseline"/>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6.铐点:23；</w:t>
            </w:r>
          </w:p>
          <w:p>
            <w:pPr>
              <w:pStyle w:val="2"/>
              <w:widowControl w:val="0"/>
              <w:numPr>
                <w:ilvl w:val="0"/>
                <w:numId w:val="0"/>
              </w:numPr>
              <w:ind w:left="0" w:leftChars="0" w:firstLine="0" w:firstLineChars="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bidi="ar-SA"/>
              </w:rPr>
              <w:t>7.材质:碳化钢。</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175</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875</w:t>
            </w:r>
          </w:p>
        </w:tc>
      </w:tr>
      <w:tr>
        <w:tblPrEx>
          <w:shd w:val="clear" w:color="auto" w:fill="auto"/>
          <w:tblLayout w:type="fixed"/>
          <w:tblCellMar>
            <w:top w:w="0" w:type="dxa"/>
            <w:left w:w="0" w:type="dxa"/>
            <w:bottom w:w="0" w:type="dxa"/>
            <w:right w:w="0" w:type="dxa"/>
          </w:tblCellMar>
        </w:tblPrEx>
        <w:trPr>
          <w:trHeight w:val="27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手脚连铐</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5副</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19050</wp:posOffset>
                  </wp:positionH>
                  <wp:positionV relativeFrom="paragraph">
                    <wp:posOffset>632460</wp:posOffset>
                  </wp:positionV>
                  <wp:extent cx="1377950" cy="1058545"/>
                  <wp:effectExtent l="0" t="0" r="12700" b="8255"/>
                  <wp:wrapNone/>
                  <wp:docPr id="22" name="ID_BB1EB784C68343C6966D21CCD5E68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D_BB1EB784C68343C6966D21CCD5E68E17" descr="/"/>
                          <pic:cNvPicPr>
                            <a:picLocks noChangeAspect="1"/>
                          </pic:cNvPicPr>
                        </pic:nvPicPr>
                        <pic:blipFill>
                          <a:blip r:embed="rId25"/>
                          <a:stretch>
                            <a:fillRect/>
                          </a:stretch>
                        </pic:blipFill>
                        <pic:spPr>
                          <a:xfrm>
                            <a:off x="0" y="0"/>
                            <a:ext cx="1377950" cy="1058545"/>
                          </a:xfrm>
                          <a:prstGeom prst="rect">
                            <a:avLst/>
                          </a:prstGeom>
                          <a:noFill/>
                          <a:ln>
                            <a:noFill/>
                          </a:ln>
                        </pic:spPr>
                      </pic:pic>
                    </a:graphicData>
                  </a:graphic>
                </wp:anchor>
              </w:drawing>
            </w:r>
          </w:p>
        </w:tc>
        <w:tc>
          <w:tcPr>
            <w:tcW w:w="24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重量总重量：2900g；</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手铐重量：425g；</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脚镣重量：2000±50g </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材质手铐材质：碳化钢；脚镣材质：不锈钢；</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尺寸手铐：最小开放尺寸：57mm；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环直径尺寸：51mm-78mm；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全长：235mm； </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脚镣：中心距：600±10mm；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环直径尺寸：88mm； </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全长：710±10mm；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中间连接链长：700mm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执行标准：GA172-2014金属手铐、</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GA237-2018金属脚镣。</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1100</w:t>
            </w:r>
          </w:p>
        </w:tc>
      </w:tr>
      <w:tr>
        <w:tblPrEx>
          <w:shd w:val="clear" w:color="auto" w:fill="auto"/>
          <w:tblLayout w:type="fixed"/>
          <w:tblCellMar>
            <w:top w:w="0" w:type="dxa"/>
            <w:left w:w="0" w:type="dxa"/>
            <w:bottom w:w="0" w:type="dxa"/>
            <w:right w:w="0" w:type="dxa"/>
          </w:tblCellMar>
        </w:tblPrEx>
        <w:trPr>
          <w:trHeight w:val="4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392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合 计</w:t>
            </w:r>
          </w:p>
        </w:tc>
        <w:tc>
          <w:tcPr>
            <w:tcW w:w="2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34425</w:t>
            </w:r>
          </w:p>
        </w:tc>
      </w:tr>
    </w:tbl>
    <w:p>
      <w:pPr>
        <w:rPr>
          <w:rFonts w:hint="eastAsia" w:asciiTheme="minorEastAsia" w:hAnsiTheme="minorEastAsia" w:eastAsiaTheme="minorEastAsia" w:cstheme="minorEastAsia"/>
          <w:sz w:val="24"/>
          <w:szCs w:val="24"/>
          <w:lang w:val="en-US" w:eastAsia="zh-CN"/>
        </w:rPr>
      </w:pPr>
    </w:p>
    <w:p>
      <w:pPr>
        <w:numPr>
          <w:ilvl w:val="0"/>
          <w:numId w:val="8"/>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反恐器械类</w:t>
      </w:r>
    </w:p>
    <w:tbl>
      <w:tblPr>
        <w:tblStyle w:val="8"/>
        <w:tblW w:w="8336" w:type="dxa"/>
        <w:tblInd w:w="0" w:type="dxa"/>
        <w:shd w:val="clear" w:color="auto" w:fill="auto"/>
        <w:tblLayout w:type="fixed"/>
        <w:tblCellMar>
          <w:top w:w="0" w:type="dxa"/>
          <w:left w:w="0" w:type="dxa"/>
          <w:bottom w:w="0" w:type="dxa"/>
          <w:right w:w="0" w:type="dxa"/>
        </w:tblCellMar>
      </w:tblPr>
      <w:tblGrid>
        <w:gridCol w:w="408"/>
        <w:gridCol w:w="673"/>
        <w:gridCol w:w="540"/>
        <w:gridCol w:w="1822"/>
        <w:gridCol w:w="3387"/>
        <w:gridCol w:w="753"/>
        <w:gridCol w:w="753"/>
      </w:tblGrid>
      <w:tr>
        <w:tblPrEx>
          <w:shd w:val="clear" w:color="auto" w:fill="auto"/>
          <w:tblLayout w:type="fixed"/>
          <w:tblCellMar>
            <w:top w:w="0" w:type="dxa"/>
            <w:left w:w="0" w:type="dxa"/>
            <w:bottom w:w="0" w:type="dxa"/>
            <w:right w:w="0" w:type="dxa"/>
          </w:tblCellMar>
        </w:tblPrEx>
        <w:trPr>
          <w:trHeight w:val="66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名称</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图片</w:t>
            </w:r>
          </w:p>
        </w:tc>
        <w:tc>
          <w:tcPr>
            <w:tcW w:w="33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参数</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单价</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金额</w:t>
            </w:r>
          </w:p>
        </w:tc>
      </w:tr>
      <w:tr>
        <w:tblPrEx>
          <w:shd w:val="clear" w:color="auto" w:fill="auto"/>
          <w:tblLayout w:type="fixed"/>
          <w:tblCellMar>
            <w:top w:w="0" w:type="dxa"/>
            <w:left w:w="0" w:type="dxa"/>
            <w:bottom w:w="0" w:type="dxa"/>
            <w:right w:w="0" w:type="dxa"/>
          </w:tblCellMar>
        </w:tblPrEx>
        <w:trPr>
          <w:trHeight w:val="282"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sz w:val="24"/>
                <w:szCs w:val="24"/>
                <w:shd w:val="clear" w:fill="FFFFFF"/>
              </w:rPr>
              <w:t>◆</w:t>
            </w:r>
            <w:r>
              <w:rPr>
                <w:rFonts w:hint="eastAsia" w:asciiTheme="minorEastAsia" w:hAnsiTheme="minorEastAsia" w:eastAsiaTheme="minorEastAsia" w:cstheme="minorEastAsia"/>
                <w:i w:val="0"/>
                <w:color w:val="000000"/>
                <w:kern w:val="0"/>
                <w:sz w:val="24"/>
                <w:szCs w:val="24"/>
                <w:u w:val="none"/>
                <w:lang w:val="en-US" w:eastAsia="zh-CN" w:bidi="ar"/>
              </w:rPr>
              <w:t>电击枪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199390</wp:posOffset>
                  </wp:positionH>
                  <wp:positionV relativeFrom="paragraph">
                    <wp:posOffset>1155065</wp:posOffset>
                  </wp:positionV>
                  <wp:extent cx="588010" cy="885190"/>
                  <wp:effectExtent l="0" t="0" r="2540" b="10160"/>
                  <wp:wrapSquare wrapText="bothSides"/>
                  <wp:docPr id="35" name="ID_636EACC11DC54590954D6D5B7999C7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D_636EACC11DC54590954D6D5B7999C772" descr="/"/>
                          <pic:cNvPicPr>
                            <a:picLocks noChangeAspect="1"/>
                          </pic:cNvPicPr>
                        </pic:nvPicPr>
                        <pic:blipFill>
                          <a:blip r:embed="rId26"/>
                          <a:stretch>
                            <a:fillRect/>
                          </a:stretch>
                        </pic:blipFill>
                        <pic:spPr>
                          <a:xfrm>
                            <a:off x="0" y="0"/>
                            <a:ext cx="588010" cy="88519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numPr>
                <w:ilvl w:val="0"/>
                <w:numId w:val="9"/>
              </w:numPr>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有效性：在预发射试验中，100个被试验者100%瞬间失去自主控制，头脑清晰，语言表达能力正常。与人体相近的动物试验，同样是瞬间会失去自主控制，观察数周无后遗症状，解剖分析符合安全要求。</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2、长期影响：断电后即可恢复，无长期影响，无后遗症。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3、接触的安全性：脉冲电波没有间接传导性。接触受试者的肌体，不会有电击；接触到单极电丝不会被电。</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4.射击目标恢复时间：短时电击的 停电即可恢复，全过程10秒电击的，2分钟后可站立行走。</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5.推射动力：高压氮气</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6.脉冲频率：前5秒为19次，后5秒为11次。</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7.输入电压：6V  （输入电压为7.6V）</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8.输出电流：全程10秒，前5秒3.7MA-2.8MA，后5秒</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为2.2MA-1.5MA （全过程5秒，前0.97ma  后2秒0.52</w:t>
            </w:r>
            <w:r>
              <w:rPr>
                <w:rFonts w:hint="eastAsia" w:asciiTheme="minorEastAsia" w:hAnsiTheme="minorEastAsia" w:eastAsiaTheme="minorEastAsia" w:cstheme="minorEastAsia"/>
                <w:sz w:val="24"/>
                <w:szCs w:val="24"/>
                <w:lang w:eastAsia="zh-CN"/>
              </w:rPr>
              <w:t>。</w:t>
            </w:r>
          </w:p>
          <w:p>
            <w:pPr>
              <w:numPr>
                <w:ilvl w:val="0"/>
                <w:numId w:val="1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输出电压：50KV (输入电压   55KV）</w:t>
            </w:r>
            <w:r>
              <w:rPr>
                <w:rFonts w:hint="eastAsia" w:asciiTheme="minorEastAsia" w:hAnsiTheme="minorEastAsia" w:eastAsiaTheme="minorEastAsia" w:cstheme="minorEastAsia"/>
                <w:sz w:val="24"/>
                <w:szCs w:val="24"/>
                <w:lang w:eastAsia="zh-CN"/>
              </w:rPr>
              <w:t>。</w:t>
            </w:r>
          </w:p>
          <w:p>
            <w:pPr>
              <w:numPr>
                <w:ilvl w:val="0"/>
                <w:numId w:val="10"/>
              </w:numPr>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有效射程：7米内</w:t>
            </w:r>
            <w:r>
              <w:rPr>
                <w:rFonts w:hint="eastAsia" w:asciiTheme="minorEastAsia" w:hAnsiTheme="minorEastAsia" w:eastAsiaTheme="minorEastAsia" w:cstheme="minorEastAsia"/>
                <w:sz w:val="24"/>
                <w:szCs w:val="24"/>
                <w:lang w:eastAsia="zh-CN"/>
              </w:rPr>
              <w:t>。</w:t>
            </w:r>
          </w:p>
          <w:p>
            <w:pPr>
              <w:numPr>
                <w:ilvl w:val="0"/>
                <w:numId w:val="0"/>
              </w:numPr>
              <w:ind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11.电池放电次数：500次+。（放电次数  467次）</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12.发射初速度：120米/秒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13.击穿衣服的厚度：约2英寸（可穿透2层皮衣）安杰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特为5CM，一样</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14.单次电击控制时间：单次电击为10秒，且1秒至10秒之间可任意控制电击秒数。（单次电击为5秒，且1-5秒内可任意控制）</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15.安全保险开关：握把两侧均设有保险杆</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16.激光红点瞄准器：枪体自带,功率&lt;2mW,波长630-650nm。</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17.LED照明灯：有（枪体自带）</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18.数码显示功能：有（枪体自带数码显示屏可显示电池剩余电量和指示字符）</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19.整机工作温度：电池及整机工作温度-40℃~ +70℃</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20.电池：采用低放电技术的CR123A，静置不使用的情况下10 年后电量依然无损耗剩余电量约百分之九十。</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21.体积与重量：(154.5</w:t>
            </w:r>
            <w:r>
              <w:rPr>
                <w:rFonts w:hint="eastAsia"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rPr>
              <w:t xml:space="preserve"> X 81.5</w:t>
            </w:r>
            <w:r>
              <w:rPr>
                <w:rFonts w:hint="eastAsia"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rPr>
              <w:t xml:space="preserve"> X 38.5</w:t>
            </w:r>
            <w:r>
              <w:rPr>
                <w:rFonts w:hint="eastAsia" w:asciiTheme="minorEastAsia" w:hAnsiTheme="minorEastAsia" w:eastAsiaTheme="minorEastAsia" w:cstheme="minorEastAsia"/>
                <w:sz w:val="24"/>
                <w:szCs w:val="24"/>
                <w:lang w:val="en-US" w:eastAsia="zh-CN"/>
              </w:rPr>
              <w:t>mm</w:t>
            </w:r>
            <w:r>
              <w:rPr>
                <w:rFonts w:hint="eastAsia" w:asciiTheme="minorEastAsia" w:hAnsiTheme="minorEastAsia" w:eastAsiaTheme="minorEastAsia" w:cstheme="minorEastAsia"/>
                <w:sz w:val="24"/>
                <w:szCs w:val="24"/>
              </w:rPr>
              <w:t>）重量（激发器主体155g，电击弹57g，电池50g）</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枪体自带 可切换备用弹头的扩展装置。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产品具有可以误读复位数据读写功能：</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23.1.</w:t>
            </w:r>
            <w:r>
              <w:rPr>
                <w:rFonts w:hint="eastAsia" w:asciiTheme="minorEastAsia" w:hAnsiTheme="minorEastAsia" w:eastAsiaTheme="minorEastAsia" w:cstheme="minorEastAsia"/>
                <w:b/>
                <w:bCs/>
                <w:sz w:val="24"/>
                <w:szCs w:val="24"/>
              </w:rPr>
              <w:t>效能与安全认定书达到国家级重点实验室认定效能与安全级别：4—4+级并提供相关证明文件</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佐证材料3】；</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23.2.所投产品需提供由国家认可的第三方机构出具</w:t>
            </w:r>
            <w:r>
              <w:rPr>
                <w:rFonts w:hint="eastAsia" w:asciiTheme="minorEastAsia" w:hAnsiTheme="minorEastAsia" w:eastAsiaTheme="minorEastAsia" w:cstheme="minorEastAsia"/>
                <w:b/>
                <w:bCs/>
                <w:sz w:val="24"/>
                <w:szCs w:val="24"/>
              </w:rPr>
              <w:t>的安全性实验评估报告结论</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lang w:val="en-US" w:eastAsia="zh-CN"/>
              </w:rPr>
              <w:t>佐证材料4</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sz w:val="24"/>
                <w:szCs w:val="24"/>
                <w:lang w:eastAsia="zh-CN"/>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45000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w:t>
            </w:r>
          </w:p>
        </w:tc>
        <w:tc>
          <w:tcPr>
            <w:tcW w:w="6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对讲机</w:t>
            </w:r>
          </w:p>
        </w:tc>
        <w:tc>
          <w:tcPr>
            <w:tcW w:w="5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1822"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67310</wp:posOffset>
                  </wp:positionH>
                  <wp:positionV relativeFrom="paragraph">
                    <wp:posOffset>3227070</wp:posOffset>
                  </wp:positionV>
                  <wp:extent cx="891540" cy="887730"/>
                  <wp:effectExtent l="0" t="0" r="3810" b="7620"/>
                  <wp:wrapSquare wrapText="bothSides"/>
                  <wp:docPr id="45" name="ID_B2D63630CB604C3EB468CFD5B74FA0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D_B2D63630CB604C3EB468CFD5B74FA067" descr="/"/>
                          <pic:cNvPicPr>
                            <a:picLocks noChangeAspect="1"/>
                          </pic:cNvPicPr>
                        </pic:nvPicPr>
                        <pic:blipFill>
                          <a:blip r:embed="rId27"/>
                          <a:stretch>
                            <a:fillRect/>
                          </a:stretch>
                        </pic:blipFill>
                        <pic:spPr>
                          <a:xfrm>
                            <a:off x="0" y="0"/>
                            <a:ext cx="891540" cy="88773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1、对讲制式：eChat</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2、支持频段：</w:t>
            </w:r>
          </w:p>
          <w:p>
            <w:pPr>
              <w:pStyle w:val="2"/>
              <w:ind w:firstLine="240" w:firstLineChars="1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GSM：900/1800</w:t>
            </w:r>
          </w:p>
          <w:p>
            <w:pPr>
              <w:pStyle w:val="2"/>
              <w:ind w:firstLine="240" w:firstLineChars="1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TDS-CDMA: 4/B39</w:t>
            </w:r>
          </w:p>
          <w:p>
            <w:pPr>
              <w:pStyle w:val="2"/>
              <w:ind w:firstLine="240" w:firstLineChars="1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CDMA: BC0</w:t>
            </w:r>
          </w:p>
          <w:p>
            <w:pPr>
              <w:pStyle w:val="2"/>
              <w:ind w:firstLine="240" w:firstLineChars="1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WCDMA: B1/B8</w:t>
            </w:r>
          </w:p>
          <w:p>
            <w:pPr>
              <w:pStyle w:val="2"/>
              <w:ind w:firstLine="240" w:firstLineChars="1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lang w:val="en-US" w:eastAsia="zh-CN"/>
              </w:rPr>
              <w:t>TDD</w:t>
            </w:r>
            <w:r>
              <w:rPr>
                <w:rFonts w:hint="eastAsia" w:asciiTheme="minorEastAsia" w:hAnsiTheme="minorEastAsia" w:eastAsiaTheme="minorEastAsia" w:cstheme="minorEastAsia"/>
                <w:b w:val="0"/>
                <w:bCs w:val="0"/>
                <w:sz w:val="24"/>
                <w:szCs w:val="24"/>
                <w:highlight w:val="none"/>
                <w:lang w:val="en-US" w:eastAsia="zh-CN"/>
              </w:rPr>
              <w:t>-LTE:38/B39/B40/B41</w:t>
            </w:r>
          </w:p>
          <w:p>
            <w:pPr>
              <w:pStyle w:val="2"/>
              <w:ind w:firstLine="240" w:firstLineChars="100"/>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FDD-LTE: B1/B3/B20/B28</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3、机身材质：双色塑料。</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4、屏幕：≥4.0吋触摸屏，800mm*480mm按键/</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highlight w:val="none"/>
                <w:lang w:val="en-US" w:eastAsia="zh-CN"/>
              </w:rPr>
              <w:t>5、接口布局：</w:t>
            </w:r>
            <w:r>
              <w:rPr>
                <w:rFonts w:hint="eastAsia" w:asciiTheme="minorEastAsia" w:hAnsiTheme="minorEastAsia" w:eastAsiaTheme="minorEastAsia" w:cstheme="minorEastAsia"/>
                <w:b w:val="0"/>
                <w:bCs w:val="0"/>
                <w:sz w:val="24"/>
                <w:szCs w:val="24"/>
                <w:lang w:val="en-US" w:eastAsia="zh-CN"/>
              </w:rPr>
              <w:t>左侧PTT键+音量x2，右侧电源键+Micro USB，底部3.5mm耳机孔。</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6、天线布局：外置。</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7、外形尺寸：≤136mm*66mm*20.5mm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8、重量：≤250g。</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9、电池电压：3.7V。</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10、电池容量：≥4000mAh</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11、操作系统：深度定制安卓操作系统内存：≥2G RAM，8G ROM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12、WiFi：支持；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13、蓝牙：支持；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14、GPS定位：支持；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15、北斗定位：支持；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16、TF卡：支持；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17、扬声器尺寸：≥36mm；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18、充电方式：Micro USB；</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19、可靠性等级：MIL-STD-810 C/D/E/F/G；</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20、三防等级：≥IP54；</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21、工作温度：(-20℃ , +60℃)；</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22、存储温度：(-40℃ , +85℃)；</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23、静电等级：IEC 61000-4-2（Level3）6KV（接触），8KV（空气）。</w:t>
            </w:r>
          </w:p>
          <w:p>
            <w:pPr>
              <w:pStyle w:val="2"/>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24、产品为国产，通过国家无线电管理局无线电发射设备型号核准并获得型号核准证，提供有效期内的型号核准证复印件。【佐证材料5】</w:t>
            </w:r>
          </w:p>
          <w:p>
            <w:pPr>
              <w:pStyle w:val="2"/>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w:t>
            </w:r>
            <w:r>
              <w:rPr>
                <w:rFonts w:hint="eastAsia" w:asciiTheme="minorEastAsia" w:hAnsiTheme="minorEastAsia" w:cstheme="minorEastAsia"/>
                <w:b/>
                <w:bCs/>
                <w:sz w:val="24"/>
                <w:szCs w:val="24"/>
                <w:highlight w:val="none"/>
                <w:lang w:val="en-US" w:eastAsia="zh-CN"/>
              </w:rPr>
              <w:t>5</w:t>
            </w:r>
            <w:r>
              <w:rPr>
                <w:rFonts w:hint="eastAsia" w:asciiTheme="minorEastAsia" w:hAnsiTheme="minorEastAsia" w:eastAsiaTheme="minorEastAsia" w:cstheme="minorEastAsia"/>
                <w:b/>
                <w:bCs/>
                <w:sz w:val="24"/>
                <w:szCs w:val="24"/>
                <w:highlight w:val="none"/>
                <w:lang w:val="en-US" w:eastAsia="zh-CN"/>
              </w:rPr>
              <w:t>、需提供由国家认可的第三方检测机构出具符合GB/T 4208-2008标准，不低于IP54的国标外壳防护等级的检测报告复印件。【佐证材料</w:t>
            </w:r>
            <w:r>
              <w:rPr>
                <w:rFonts w:hint="eastAsia" w:asciiTheme="minorEastAsia" w:hAnsi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lang w:val="en-US" w:eastAsia="zh-CN"/>
              </w:rPr>
              <w:t>】</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highlight w:val="none"/>
                <w:lang w:val="en-US" w:eastAsia="zh-CN"/>
              </w:rPr>
              <w:t>2</w:t>
            </w:r>
            <w:r>
              <w:rPr>
                <w:rFonts w:hint="eastAsia" w:asciiTheme="minorEastAsia" w:hAnsiTheme="minorEastAsia" w:cstheme="minorEastAsia"/>
                <w:b/>
                <w:bCs/>
                <w:sz w:val="24"/>
                <w:szCs w:val="24"/>
                <w:highlight w:val="none"/>
                <w:lang w:val="en-US" w:eastAsia="zh-CN"/>
              </w:rPr>
              <w:t>6</w:t>
            </w:r>
            <w:r>
              <w:rPr>
                <w:rFonts w:hint="eastAsia" w:asciiTheme="minorEastAsia" w:hAnsiTheme="minorEastAsia" w:eastAsiaTheme="minorEastAsia" w:cstheme="minorEastAsia"/>
                <w:b/>
                <w:bCs/>
                <w:sz w:val="24"/>
                <w:szCs w:val="24"/>
                <w:highlight w:val="none"/>
                <w:lang w:val="en-US" w:eastAsia="zh-CN"/>
              </w:rPr>
              <w:t>、产品通过国家工业和信息化部认证，提供电信设备进网许可证复印件。【佐证材料</w:t>
            </w:r>
            <w:r>
              <w:rPr>
                <w:rFonts w:hint="eastAsia" w:asciiTheme="minorEastAsia" w:hAnsiTheme="minorEastAsia" w:cstheme="minorEastAsia"/>
                <w:b/>
                <w:bCs/>
                <w:sz w:val="24"/>
                <w:szCs w:val="24"/>
                <w:highlight w:val="none"/>
                <w:lang w:val="en-US" w:eastAsia="zh-CN"/>
              </w:rPr>
              <w:t>7</w:t>
            </w:r>
            <w:r>
              <w:rPr>
                <w:rFonts w:hint="eastAsia" w:asciiTheme="minorEastAsia" w:hAnsiTheme="minorEastAsia" w:eastAsiaTheme="minorEastAsia" w:cstheme="minorEastAsia"/>
                <w:b/>
                <w:bCs/>
                <w:sz w:val="24"/>
                <w:szCs w:val="24"/>
                <w:highlight w:val="none"/>
                <w:lang w:val="en-US" w:eastAsia="zh-CN"/>
              </w:rPr>
              <w:t>】</w:t>
            </w:r>
          </w:p>
        </w:tc>
        <w:tc>
          <w:tcPr>
            <w:tcW w:w="753"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3800</w:t>
            </w:r>
          </w:p>
        </w:tc>
        <w:tc>
          <w:tcPr>
            <w:tcW w:w="75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38000</w:t>
            </w:r>
          </w:p>
        </w:tc>
      </w:tr>
      <w:tr>
        <w:tblPrEx>
          <w:shd w:val="clear" w:color="auto" w:fill="auto"/>
          <w:tblLayout w:type="fixed"/>
          <w:tblCellMar>
            <w:top w:w="0" w:type="dxa"/>
            <w:left w:w="0" w:type="dxa"/>
            <w:bottom w:w="0" w:type="dxa"/>
            <w:right w:w="0" w:type="dxa"/>
          </w:tblCellMar>
        </w:tblPrEx>
        <w:trPr>
          <w:trHeight w:val="51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催泪枪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5把</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93980</wp:posOffset>
                  </wp:positionH>
                  <wp:positionV relativeFrom="paragraph">
                    <wp:posOffset>319405</wp:posOffset>
                  </wp:positionV>
                  <wp:extent cx="612775" cy="1246505"/>
                  <wp:effectExtent l="0" t="0" r="15875" b="10795"/>
                  <wp:wrapSquare wrapText="bothSides"/>
                  <wp:docPr id="36" name="ID_5717DC30C8DA4704BD470F83C00DEF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D_5717DC30C8DA4704BD470F83C00DEF59" descr="/"/>
                          <pic:cNvPicPr>
                            <a:picLocks noChangeAspect="1"/>
                          </pic:cNvPicPr>
                        </pic:nvPicPr>
                        <pic:blipFill>
                          <a:blip r:embed="rId28"/>
                          <a:stretch>
                            <a:fillRect/>
                          </a:stretch>
                        </pic:blipFill>
                        <pic:spPr>
                          <a:xfrm>
                            <a:off x="0" y="0"/>
                            <a:ext cx="612775" cy="1246505"/>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标配：一个快速切换快拔套，一个快速催泪击发器，</w:t>
            </w:r>
            <w:r>
              <w:rPr>
                <w:rFonts w:hint="eastAsia" w:asciiTheme="minorEastAsia" w:hAnsiTheme="minorEastAsia" w:eastAsiaTheme="minorEastAsia" w:cstheme="minorEastAsia"/>
                <w:b w:val="0"/>
                <w:bCs w:val="0"/>
                <w:sz w:val="24"/>
                <w:szCs w:val="24"/>
                <w:lang w:val="en-US" w:eastAsia="zh-CN"/>
              </w:rPr>
              <w:br w:type="textWrapping"/>
            </w:r>
            <w:r>
              <w:rPr>
                <w:rFonts w:hint="eastAsia" w:asciiTheme="minorEastAsia" w:hAnsiTheme="minorEastAsia" w:eastAsiaTheme="minorEastAsia" w:cstheme="minorEastAsia"/>
                <w:b/>
                <w:bCs/>
                <w:sz w:val="24"/>
                <w:szCs w:val="24"/>
                <w:lang w:val="en-US" w:eastAsia="zh-CN"/>
              </w:rPr>
              <w:t>一个新标横喷催泪器。</w:t>
            </w:r>
          </w:p>
          <w:p>
            <w:pPr>
              <w:pStyle w:val="2"/>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 击发器主体和快拔套材料采用尼龙注塑成型，性能稳定，耐腐蚀抗冲击，零下40度产品性能不会受到影响。</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 快速催泪击发器尺寸（不含快拔套，催泪器）：</w:t>
            </w:r>
            <w:r>
              <w:rPr>
                <w:rFonts w:hint="eastAsia" w:asciiTheme="minorEastAsia" w:hAnsiTheme="minorEastAsia" w:eastAsiaTheme="minorEastAsia" w:cstheme="minorEastAsia"/>
                <w:b w:val="0"/>
                <w:bCs w:val="0"/>
                <w:sz w:val="24"/>
                <w:szCs w:val="24"/>
                <w:lang w:val="en-US" w:eastAsia="zh-CN"/>
              </w:rPr>
              <w:br w:type="textWrapping"/>
            </w:r>
            <w:r>
              <w:rPr>
                <w:rFonts w:hint="eastAsia" w:asciiTheme="minorEastAsia" w:hAnsiTheme="minorEastAsia" w:eastAsiaTheme="minorEastAsia" w:cstheme="minorEastAsia"/>
                <w:b w:val="0"/>
                <w:bCs w:val="0"/>
                <w:sz w:val="24"/>
                <w:szCs w:val="24"/>
                <w:lang w:val="en-US" w:eastAsia="zh-CN"/>
              </w:rPr>
              <w:t xml:space="preserve">长180±5mm宽150±3mm高45±2mm, </w:t>
            </w:r>
            <w:r>
              <w:rPr>
                <w:rFonts w:hint="eastAsia" w:asciiTheme="minorEastAsia" w:hAnsiTheme="minorEastAsia" w:eastAsiaTheme="minorEastAsia" w:cstheme="minorEastAsia"/>
                <w:b w:val="0"/>
                <w:bCs w:val="0"/>
                <w:sz w:val="24"/>
                <w:szCs w:val="24"/>
                <w:lang w:val="en-US" w:eastAsia="zh-CN"/>
              </w:rPr>
              <w:br w:type="textWrapping"/>
            </w:r>
            <w:r>
              <w:rPr>
                <w:rFonts w:hint="eastAsia" w:asciiTheme="minorEastAsia" w:hAnsiTheme="minorEastAsia" w:eastAsiaTheme="minorEastAsia" w:cstheme="minorEastAsia"/>
                <w:b w:val="0"/>
                <w:bCs w:val="0"/>
                <w:sz w:val="24"/>
                <w:szCs w:val="24"/>
                <w:lang w:val="en-US" w:eastAsia="zh-CN"/>
              </w:rPr>
              <w:t>净重：160±2克 。</w:t>
            </w:r>
          </w:p>
          <w:p>
            <w:pPr>
              <w:pStyle w:val="2"/>
              <w:numPr>
                <w:ilvl w:val="0"/>
                <w:numId w:val="7"/>
              </w:numPr>
              <w:ind w:left="0" w:leftChars="0" w:firstLine="0" w:firstLineChars="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快拔套采用防抢设计，食指解锁，每次拔 出需按下释放键击发器才能拔出，快拔套可以在不借用任何工具的情况下，一只手持快拔套一只手持后板反向扭动，可以360度调整角度；</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4.连接快拔套的板都是采用最新设计的快拆卸板，可以直接快速扣在腰带和背心上，打开方式是侧面按钮按下解锁，改变了传统的底部内侧难以解锁的结构。</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480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催泪枪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2把</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11430</wp:posOffset>
                  </wp:positionH>
                  <wp:positionV relativeFrom="paragraph">
                    <wp:posOffset>692785</wp:posOffset>
                  </wp:positionV>
                  <wp:extent cx="918845" cy="917575"/>
                  <wp:effectExtent l="0" t="0" r="14605" b="15875"/>
                  <wp:wrapSquare wrapText="bothSides"/>
                  <wp:docPr id="43" name="ID_4CD9EEA2D1554446A60AF3B9C343BA3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D_4CD9EEA2D1554446A60AF3B9C343BA3A" descr="/"/>
                          <pic:cNvPicPr>
                            <a:picLocks noChangeAspect="1"/>
                          </pic:cNvPicPr>
                        </pic:nvPicPr>
                        <pic:blipFill>
                          <a:blip r:embed="rId29"/>
                          <a:stretch>
                            <a:fillRect/>
                          </a:stretch>
                        </pic:blipFill>
                        <pic:spPr>
                          <a:xfrm>
                            <a:off x="0" y="0"/>
                            <a:ext cx="918845" cy="91757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产品参数：</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产品尺寸：200mm*140mm*25mm；</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——全枪重量：300g；</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——动力：高压空气；</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——填装量：2支；</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——发射物：辣椒剂、标记剂、训练剂；</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——结构：上下弹仓，双动扳机；</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——材质：高强度纤维增强树脂；</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——击发功能：保险/单发；</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——有效射程：7米；</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——机械瞄准具；</w:t>
            </w:r>
          </w:p>
          <w:p>
            <w:pPr>
              <w:pStyle w:val="2"/>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val="0"/>
                <w:bCs w:val="0"/>
                <w:kern w:val="2"/>
                <w:sz w:val="24"/>
                <w:szCs w:val="24"/>
                <w:lang w:val="en-US" w:eastAsia="zh-CN" w:bidi="ar-SA"/>
              </w:rPr>
              <w:t>——内置激光瞄准器。</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7200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14400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烟雾弹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20个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inline distT="0" distB="0" distL="114300" distR="114300">
                  <wp:extent cx="1040130" cy="1278255"/>
                  <wp:effectExtent l="0" t="0" r="7620" b="17145"/>
                  <wp:docPr id="19" name="图片 19" descr="烟雾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烟雾弹"/>
                          <pic:cNvPicPr>
                            <a:picLocks noChangeAspect="1"/>
                          </pic:cNvPicPr>
                        </pic:nvPicPr>
                        <pic:blipFill>
                          <a:blip r:embed="rId30"/>
                          <a:stretch>
                            <a:fillRect/>
                          </a:stretch>
                        </pic:blipFill>
                        <pic:spPr>
                          <a:xfrm>
                            <a:off x="0" y="0"/>
                            <a:ext cx="1040130" cy="1278255"/>
                          </a:xfrm>
                          <a:prstGeom prst="rect">
                            <a:avLst/>
                          </a:prstGeom>
                        </pic:spPr>
                      </pic:pic>
                    </a:graphicData>
                  </a:graphic>
                </wp:inline>
              </w:drawing>
            </w:r>
          </w:p>
        </w:tc>
        <w:tc>
          <w:tcPr>
            <w:tcW w:w="3387" w:type="dxa"/>
            <w:tcBorders>
              <w:top w:val="nil"/>
              <w:left w:val="nil"/>
              <w:bottom w:val="nil"/>
              <w:right w:val="nil"/>
            </w:tcBorders>
            <w:shd w:val="clear" w:color="auto" w:fill="auto"/>
            <w:noWrap/>
            <w:tcMar>
              <w:top w:w="15" w:type="dxa"/>
              <w:left w:w="15" w:type="dxa"/>
              <w:right w:w="15" w:type="dxa"/>
            </w:tcMar>
            <w:vAlign w:val="center"/>
          </w:tcPr>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参数：</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1、发烟时间：60-180秒</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2、保管和使用温度：－30℃~ +65℃</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3、产品规格：【12*3.8】</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4、有效期：≥3年"</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108</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2160</w:t>
            </w:r>
          </w:p>
        </w:tc>
      </w:tr>
      <w:tr>
        <w:tblPrEx>
          <w:shd w:val="clear" w:color="auto" w:fill="auto"/>
          <w:tblLayout w:type="fixed"/>
          <w:tblCellMar>
            <w:top w:w="0" w:type="dxa"/>
            <w:left w:w="0" w:type="dxa"/>
            <w:bottom w:w="0" w:type="dxa"/>
            <w:right w:w="0" w:type="dxa"/>
          </w:tblCellMar>
        </w:tblPrEx>
        <w:trPr>
          <w:trHeight w:val="2651"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手掷子母催泪弹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10个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42545</wp:posOffset>
                  </wp:positionH>
                  <wp:positionV relativeFrom="paragraph">
                    <wp:posOffset>173355</wp:posOffset>
                  </wp:positionV>
                  <wp:extent cx="1002030" cy="1045845"/>
                  <wp:effectExtent l="0" t="0" r="7620" b="1905"/>
                  <wp:wrapSquare wrapText="bothSides"/>
                  <wp:docPr id="40" name="ID_47979EFEC27B4935AA95C2252E9428A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D_47979EFEC27B4935AA95C2252E9428AA" descr="/"/>
                          <pic:cNvPicPr>
                            <a:picLocks noChangeAspect="1"/>
                          </pic:cNvPicPr>
                        </pic:nvPicPr>
                        <pic:blipFill>
                          <a:blip r:embed="rId31"/>
                          <a:stretch>
                            <a:fillRect/>
                          </a:stretch>
                        </pic:blipFill>
                        <pic:spPr>
                          <a:xfrm>
                            <a:off x="0" y="0"/>
                            <a:ext cx="1002030" cy="104584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1.弹径：63mm</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2.弹长：≤160mm</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3.弹重：≤650g</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4.手掷延时：0.8s~1.6s</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5.子弹急促发烟时间：10s~15s</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6.子弹散布范围：&gt;100</w:t>
            </w:r>
            <w:r>
              <w:rPr>
                <w:rFonts w:hint="eastAsia" w:asciiTheme="minorEastAsia" w:hAnsiTheme="minorEastAsia" w:eastAsiaTheme="minorEastAsia" w:cstheme="minorEastAsia"/>
                <w:b w:val="0"/>
                <w:bCs w:val="0"/>
                <w:sz w:val="24"/>
                <w:szCs w:val="24"/>
                <w:highlight w:val="none"/>
                <w:lang w:val="en-US" w:eastAsia="zh-CN"/>
              </w:rPr>
              <w:t>㎡;</w:t>
            </w:r>
          </w:p>
          <w:p>
            <w:pPr>
              <w:pStyle w:val="2"/>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rPr>
              <w:t>7.使用温度：-30℃~+45℃</w:t>
            </w:r>
            <w:r>
              <w:rPr>
                <w:rFonts w:hint="eastAsia" w:asciiTheme="minorEastAsia" w:hAnsiTheme="minorEastAsia" w:eastAsiaTheme="minorEastAsia" w:cstheme="minorEastAsia"/>
                <w:b w:val="0"/>
                <w:bCs w:val="0"/>
                <w:sz w:val="24"/>
                <w:szCs w:val="24"/>
                <w:highlight w:val="none"/>
                <w:lang w:val="en-US" w:eastAsia="zh-CN"/>
              </w:rPr>
              <w:t>;</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bCs w:val="0"/>
                <w:sz w:val="24"/>
                <w:szCs w:val="24"/>
                <w:highlight w:val="none"/>
              </w:rPr>
              <w:t>8.储存寿命：5年</w:t>
            </w:r>
            <w:r>
              <w:rPr>
                <w:rFonts w:hint="eastAsia" w:asciiTheme="minorEastAsia" w:hAnsiTheme="minorEastAsia" w:eastAsiaTheme="minorEastAsia" w:cstheme="minorEastAsia"/>
                <w:b w:val="0"/>
                <w:bCs w:val="0"/>
                <w:sz w:val="24"/>
                <w:szCs w:val="24"/>
                <w:highlight w:val="none"/>
                <w:lang w:val="en-US" w:eastAsia="zh-CN"/>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15000</w:t>
            </w:r>
          </w:p>
        </w:tc>
      </w:tr>
      <w:tr>
        <w:tblPrEx>
          <w:shd w:val="clear" w:color="auto" w:fill="auto"/>
          <w:tblLayout w:type="fixed"/>
          <w:tblCellMar>
            <w:top w:w="0" w:type="dxa"/>
            <w:left w:w="0" w:type="dxa"/>
            <w:bottom w:w="0" w:type="dxa"/>
            <w:right w:w="0" w:type="dxa"/>
          </w:tblCellMar>
        </w:tblPrEx>
        <w:trPr>
          <w:trHeight w:val="2834"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催泪弹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20个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104775</wp:posOffset>
                  </wp:positionH>
                  <wp:positionV relativeFrom="paragraph">
                    <wp:posOffset>99695</wp:posOffset>
                  </wp:positionV>
                  <wp:extent cx="571500" cy="933450"/>
                  <wp:effectExtent l="0" t="0" r="0" b="0"/>
                  <wp:wrapNone/>
                  <wp:docPr id="37" name="ID_7CC5D40EC9B54CCB8582F6A39F4DF71D"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D_7CC5D40EC9B54CCB8582F6A39F4DF71D" descr="/"/>
                          <pic:cNvPicPr>
                            <a:picLocks noChangeAspect="1"/>
                          </pic:cNvPicPr>
                        </pic:nvPicPr>
                        <pic:blipFill>
                          <a:blip r:embed="rId32"/>
                          <a:stretch>
                            <a:fillRect/>
                          </a:stretch>
                        </pic:blipFill>
                        <pic:spPr>
                          <a:xfrm>
                            <a:off x="0" y="0"/>
                            <a:ext cx="571500" cy="93345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1、直径：35mm；</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2、高度：160mm；</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3、容量：110ml；</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4"/>
                <w:szCs w:val="24"/>
                <w:lang w:val="en-US" w:eastAsia="zh-CN" w:bidi="ar-SA"/>
              </w:rPr>
              <w:t>4、使用时，右手中指扣住保险销圆环，用力将弹投向目标，出弹后会自动发出强效催泪剂，投掷距离不得小于10m。</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8</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强光爆震弹</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10个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sz w:val="24"/>
                <w:szCs w:val="24"/>
                <w:lang w:val="en-US" w:eastAsia="zh-CN"/>
              </w:rPr>
              <w:t>技术参数：</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1.弹径：45mm；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2.弹长：115mm；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3.弹重：250g；</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-945515</wp:posOffset>
                  </wp:positionH>
                  <wp:positionV relativeFrom="paragraph">
                    <wp:posOffset>158750</wp:posOffset>
                  </wp:positionV>
                  <wp:extent cx="911225" cy="715645"/>
                  <wp:effectExtent l="0" t="0" r="3175" b="8255"/>
                  <wp:wrapNone/>
                  <wp:docPr id="42" name="ID_AD6C4135479F42CDA57DFB4B93B693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D_AD6C4135479F42CDA57DFB4B93B69313" descr="/"/>
                          <pic:cNvPicPr>
                            <a:picLocks noChangeAspect="1"/>
                          </pic:cNvPicPr>
                        </pic:nvPicPr>
                        <pic:blipFill>
                          <a:blip r:embed="rId33"/>
                          <a:stretch>
                            <a:fillRect/>
                          </a:stretch>
                        </pic:blipFill>
                        <pic:spPr>
                          <a:xfrm>
                            <a:off x="0" y="0"/>
                            <a:ext cx="911225" cy="715645"/>
                          </a:xfrm>
                          <a:prstGeom prst="rect">
                            <a:avLst/>
                          </a:prstGeom>
                          <a:noFill/>
                          <a:ln>
                            <a:noFill/>
                          </a:ln>
                        </pic:spPr>
                      </pic:pic>
                    </a:graphicData>
                  </a:graphic>
                </wp:anchor>
              </w:drawing>
            </w:r>
            <w:r>
              <w:rPr>
                <w:rFonts w:hint="eastAsia" w:asciiTheme="minorEastAsia" w:hAnsiTheme="minorEastAsia" w:eastAsiaTheme="minorEastAsia" w:cstheme="minorEastAsia"/>
                <w:i w:val="0"/>
                <w:color w:val="000000"/>
                <w:sz w:val="24"/>
                <w:szCs w:val="24"/>
                <w:u w:val="none"/>
              </w:rPr>
              <w:t>4.距炸点1m处威力；</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安全半径：≥1m；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延期时间：2.5s~3.5s；</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使用温度：-30℃~+45℃；</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峰值声压级：165dB≤Lp≤185dB；</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发光强度：2.5×107cd~5.0×107cd；</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sz w:val="24"/>
                <w:szCs w:val="24"/>
                <w:u w:val="none"/>
              </w:rPr>
              <w:t>5.储存年限：5年。</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6500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9</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金属盾牌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180340</wp:posOffset>
                  </wp:positionH>
                  <wp:positionV relativeFrom="paragraph">
                    <wp:posOffset>308610</wp:posOffset>
                  </wp:positionV>
                  <wp:extent cx="781685" cy="1029335"/>
                  <wp:effectExtent l="0" t="0" r="18415" b="18415"/>
                  <wp:wrapNone/>
                  <wp:docPr id="38" name="ID_F0FB3BF82B7C4BCA94521685DD96D3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D_F0FB3BF82B7C4BCA94521685DD96D372" descr="/"/>
                          <pic:cNvPicPr>
                            <a:picLocks noChangeAspect="1"/>
                          </pic:cNvPicPr>
                        </pic:nvPicPr>
                        <pic:blipFill>
                          <a:blip r:embed="rId34"/>
                          <a:stretch>
                            <a:fillRect/>
                          </a:stretch>
                        </pic:blipFill>
                        <pic:spPr>
                          <a:xfrm>
                            <a:off x="0" y="0"/>
                            <a:ext cx="781685" cy="1029335"/>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技术参数：</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1.材质：优质铝材料；</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2.产品规格：500*900*2.2mm；</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3.重量：约3.24kg;</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4.构造：盾板。盾体表面光滑，突出的弧面设计使盾牌更加坚固，有效阻碍危险物的袭击，盾板背面设有缓冲高弹海绵、扣带、握把及警棍扣，操作简单便捷且安全有效。</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5.耐冲击强度：147J动能冲击复核标准；</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6.耐穿刺能力：GA68-2003标准试验</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刀具20J动能穿刺符合标准；</w:t>
            </w:r>
          </w:p>
          <w:p>
            <w:pPr>
              <w:keepNext w:val="0"/>
              <w:keepLines w:val="0"/>
              <w:widowControl/>
              <w:numPr>
                <w:ilvl w:val="0"/>
                <w:numId w:val="11"/>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温度适应性：-20℃—+55℃；</w:t>
            </w:r>
          </w:p>
          <w:p>
            <w:pPr>
              <w:keepNext w:val="0"/>
              <w:keepLines w:val="0"/>
              <w:widowControl/>
              <w:numPr>
                <w:ilvl w:val="0"/>
                <w:numId w:val="11"/>
              </w:numPr>
              <w:suppressLineNumbers w:val="0"/>
              <w:jc w:val="left"/>
              <w:textAlignment w:val="center"/>
              <w:rPr>
                <w:rFonts w:hint="eastAsia" w:asciiTheme="minorEastAsia" w:hAnsiTheme="minorEastAsia" w:eastAsiaTheme="minorEastAsia" w:cstheme="minorEastAsia"/>
                <w:i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 xml:space="preserve">检验标准：GA422-2008《防暴盾牌》标准。   </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1750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港式圆盾</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5715</wp:posOffset>
                  </wp:positionH>
                  <wp:positionV relativeFrom="paragraph">
                    <wp:posOffset>665480</wp:posOffset>
                  </wp:positionV>
                  <wp:extent cx="1143635" cy="772795"/>
                  <wp:effectExtent l="0" t="0" r="18415" b="8255"/>
                  <wp:wrapSquare wrapText="bothSides"/>
                  <wp:docPr id="39" name="ID_D28EDD70D557493498AA158F9C002F8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D_D28EDD70D557493498AA158F9C002F8B" descr="/"/>
                          <pic:cNvPicPr>
                            <a:picLocks noChangeAspect="1"/>
                          </pic:cNvPicPr>
                        </pic:nvPicPr>
                        <pic:blipFill>
                          <a:blip r:embed="rId35"/>
                          <a:stretch>
                            <a:fillRect/>
                          </a:stretch>
                        </pic:blipFill>
                        <pic:spPr>
                          <a:xfrm>
                            <a:off x="0" y="0"/>
                            <a:ext cx="1143635" cy="77279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技术参数：</w:t>
            </w:r>
          </w:p>
          <w:p>
            <w:pPr>
              <w:keepNext w:val="0"/>
              <w:keepLines w:val="0"/>
              <w:widowControl/>
              <w:numPr>
                <w:ilvl w:val="0"/>
                <w:numId w:val="12"/>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材质：PC材料；</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2.产品规格：580mm*580mm*3.5mm</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3.重量：2.4kg;</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4.透光率：≥80%</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5.构造：盾板加背板。盾体表面光滑，</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金属包边，能有效阻碍危险物的袭击，双层板面设计，背板根据人体结构设计，双款握把，操作简单便捷且安全有效。</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6.耐冲击强度：147J动能冲击复核标准；</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7.耐穿刺能力：GA68-2003标准试验刀具20J动能穿刺符合标准；</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8.温度适应性：-20℃—+55℃；</w:t>
            </w:r>
          </w:p>
          <w:p>
            <w:pPr>
              <w:keepNext w:val="0"/>
              <w:keepLines w:val="0"/>
              <w:widowControl/>
              <w:numPr>
                <w:ilvl w:val="0"/>
                <w:numId w:val="0"/>
              </w:numPr>
              <w:suppressLineNumbers w:val="0"/>
              <w:jc w:val="left"/>
              <w:textAlignment w:val="center"/>
              <w:rPr>
                <w:rStyle w:val="14"/>
                <w:rFonts w:hint="eastAsia" w:asciiTheme="minorEastAsia" w:hAnsiTheme="minorEastAsia" w:eastAsiaTheme="minorEastAsia" w:cstheme="minorEastAsia"/>
                <w:sz w:val="24"/>
                <w:szCs w:val="24"/>
                <w:lang w:val="en-US" w:eastAsia="zh-CN" w:bidi="ar"/>
              </w:rPr>
            </w:pPr>
            <w:r>
              <w:rPr>
                <w:rStyle w:val="14"/>
                <w:rFonts w:hint="eastAsia" w:asciiTheme="minorEastAsia" w:hAnsiTheme="minorEastAsia" w:eastAsiaTheme="minorEastAsia" w:cstheme="minorEastAsia"/>
                <w:sz w:val="24"/>
                <w:szCs w:val="24"/>
                <w:lang w:val="en-US" w:eastAsia="zh-CN" w:bidi="ar"/>
              </w:rPr>
              <w:t>9.阻燃性：离开明火后，被点燃处续燃时间不超过5S；</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color w:val="000000"/>
                <w:sz w:val="24"/>
                <w:szCs w:val="24"/>
                <w:u w:val="none"/>
              </w:rPr>
            </w:pPr>
            <w:r>
              <w:rPr>
                <w:rStyle w:val="14"/>
                <w:rFonts w:hint="eastAsia" w:asciiTheme="minorEastAsia" w:hAnsiTheme="minorEastAsia" w:eastAsiaTheme="minorEastAsia" w:cstheme="minorEastAsia"/>
                <w:sz w:val="24"/>
                <w:szCs w:val="24"/>
                <w:lang w:val="en-US" w:eastAsia="zh-CN" w:bidi="ar"/>
              </w:rPr>
              <w:t xml:space="preserve">10.执行标准：GA422-2008《防暴盾牌》标准。  </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360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1800</w:t>
            </w:r>
          </w:p>
        </w:tc>
      </w:tr>
      <w:tr>
        <w:tblPrEx>
          <w:shd w:val="clear" w:color="auto" w:fill="auto"/>
          <w:tblLayout w:type="fixed"/>
          <w:tblCellMar>
            <w:top w:w="0" w:type="dxa"/>
            <w:left w:w="0" w:type="dxa"/>
            <w:bottom w:w="0" w:type="dxa"/>
            <w:right w:w="0" w:type="dxa"/>
          </w:tblCellMar>
        </w:tblPrEx>
        <w:trPr>
          <w:trHeight w:val="730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11</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催泪盾牌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p>
          <w:p>
            <w:pPr>
              <w:keepNext w:val="0"/>
              <w:keepLines w:val="0"/>
              <w:widowControl/>
              <w:suppressLineNumbers w:val="0"/>
              <w:jc w:val="both"/>
              <w:textAlignment w:val="top"/>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58240" behindDoc="0" locked="0" layoutInCell="1" allowOverlap="1">
                  <wp:simplePos x="0" y="0"/>
                  <wp:positionH relativeFrom="column">
                    <wp:posOffset>67310</wp:posOffset>
                  </wp:positionH>
                  <wp:positionV relativeFrom="paragraph">
                    <wp:posOffset>186690</wp:posOffset>
                  </wp:positionV>
                  <wp:extent cx="910590" cy="1210310"/>
                  <wp:effectExtent l="0" t="0" r="3810" b="8890"/>
                  <wp:wrapNone/>
                  <wp:docPr id="41" name="ID_FF3702B9B9D7480BAE15F2B28F460BB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D_FF3702B9B9D7480BAE15F2B28F460BBA" descr="/"/>
                          <pic:cNvPicPr>
                            <a:picLocks noChangeAspect="1"/>
                          </pic:cNvPicPr>
                        </pic:nvPicPr>
                        <pic:blipFill>
                          <a:blip r:embed="rId36"/>
                          <a:stretch>
                            <a:fillRect/>
                          </a:stretch>
                        </pic:blipFill>
                        <pic:spPr>
                          <a:xfrm>
                            <a:off x="0" y="0"/>
                            <a:ext cx="910590" cy="1210310"/>
                          </a:xfrm>
                          <a:prstGeom prst="rect">
                            <a:avLst/>
                          </a:prstGeom>
                          <a:noFill/>
                          <a:ln>
                            <a:noFill/>
                          </a:ln>
                        </pic:spPr>
                      </pic:pic>
                    </a:graphicData>
                  </a:graphic>
                </wp:anchor>
              </w:drawing>
            </w:r>
          </w:p>
          <w:p>
            <w:pPr>
              <w:pStyle w:val="2"/>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lang w:val="en-US" w:eastAsia="zh-CN"/>
              </w:rPr>
            </w:pPr>
          </w:p>
          <w:p>
            <w:pPr>
              <w:pStyle w:val="2"/>
              <w:rPr>
                <w:rFonts w:hint="eastAsia" w:asciiTheme="minorEastAsia" w:hAnsiTheme="minorEastAsia" w:eastAsiaTheme="minorEastAsia" w:cstheme="minorEastAsia"/>
                <w:sz w:val="24"/>
                <w:szCs w:val="24"/>
                <w:lang w:val="en-US" w:eastAsia="zh-CN"/>
              </w:rPr>
            </w:pPr>
          </w:p>
          <w:p>
            <w:pPr>
              <w:rPr>
                <w:rFonts w:hint="eastAsia" w:asciiTheme="minorEastAsia" w:hAnsiTheme="minorEastAsia" w:eastAsiaTheme="minorEastAsia" w:cstheme="minorEastAsia"/>
                <w:sz w:val="24"/>
                <w:szCs w:val="24"/>
              </w:rPr>
            </w:pP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pPr>
              <w:keepNext w:val="0"/>
              <w:keepLines w:val="0"/>
              <w:widowControl/>
              <w:numPr>
                <w:ilvl w:val="0"/>
                <w:numId w:val="13"/>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催泪罐装置材质：铝合金；</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2.规格：1000mm×570mm×3.5mm；凹陷深度：≥85mm</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3.材质：优质透明聚碳酸脂PC材料制造；</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4.透光率：90%；</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5.耐冲击强度：147J动能冲击符合标准；</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6.耐穿刺性能：GA68-2003标准试验刀具20J动；</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7.能穿刺符合标准；</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8.握把连接强度：≥500N；</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9.臂带连接强度：≥500N；</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10.质量：﹤4kg；</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11.辣素剂：CS辣素；</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12.含量：150ml，喷射距离：5米；</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13.发射方法：点击按钮；</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14.喷射距离：大于三米以上。</w:t>
            </w:r>
          </w:p>
          <w:p>
            <w:pPr>
              <w:pStyle w:val="2"/>
              <w:numPr>
                <w:ilvl w:val="0"/>
                <w:numId w:val="0"/>
              </w:num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15.气罐压力:25公斤/每平方公分；</w:t>
            </w:r>
          </w:p>
          <w:p>
            <w:pPr>
              <w:pStyle w:val="2"/>
              <w:numPr>
                <w:ilvl w:val="0"/>
                <w:numId w:val="0"/>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4"/>
                <w:szCs w:val="24"/>
                <w:lang w:val="en-US" w:eastAsia="zh-CN" w:bidi="ar-SA"/>
              </w:rPr>
              <w:t>16.执行标准：GA422-2008《防暴盾牌》标准。</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1050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5250</w:t>
            </w:r>
          </w:p>
        </w:tc>
      </w:tr>
      <w:tr>
        <w:tblPrEx>
          <w:shd w:val="clear" w:color="auto" w:fill="auto"/>
          <w:tblLayout w:type="fixed"/>
          <w:tblCellMar>
            <w:top w:w="0" w:type="dxa"/>
            <w:left w:w="0" w:type="dxa"/>
            <w:bottom w:w="0" w:type="dxa"/>
            <w:right w:w="0" w:type="dxa"/>
          </w:tblCellMar>
        </w:tblPrEx>
        <w:trPr>
          <w:trHeight w:val="270" w:hRule="atLeast"/>
        </w:trPr>
        <w:tc>
          <w:tcPr>
            <w:tcW w:w="40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电击盾牌</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1片</w:t>
            </w:r>
          </w:p>
        </w:tc>
        <w:tc>
          <w:tcPr>
            <w:tcW w:w="18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97790</wp:posOffset>
                  </wp:positionH>
                  <wp:positionV relativeFrom="paragraph">
                    <wp:posOffset>579120</wp:posOffset>
                  </wp:positionV>
                  <wp:extent cx="963930" cy="830580"/>
                  <wp:effectExtent l="0" t="0" r="7620" b="7620"/>
                  <wp:wrapNone/>
                  <wp:docPr id="28" name="ID_82966F0C956041F696BCDA6C29E7EBC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D_82966F0C956041F696BCDA6C29E7EBCE" descr="/"/>
                          <pic:cNvPicPr>
                            <a:picLocks noChangeAspect="1"/>
                          </pic:cNvPicPr>
                        </pic:nvPicPr>
                        <pic:blipFill>
                          <a:blip r:embed="rId37"/>
                          <a:stretch>
                            <a:fillRect/>
                          </a:stretch>
                        </pic:blipFill>
                        <pic:spPr>
                          <a:xfrm>
                            <a:off x="0" y="0"/>
                            <a:ext cx="963930" cy="830580"/>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产品描述：</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5500</w:t>
            </w:r>
          </w:p>
        </w:tc>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5500</w:t>
            </w:r>
          </w:p>
        </w:tc>
      </w:tr>
      <w:tr>
        <w:tblPrEx>
          <w:shd w:val="clear" w:color="auto" w:fill="auto"/>
          <w:tblLayout w:type="fixed"/>
          <w:tblCellMar>
            <w:top w:w="0" w:type="dxa"/>
            <w:left w:w="0" w:type="dxa"/>
            <w:bottom w:w="0" w:type="dxa"/>
            <w:right w:w="0" w:type="dxa"/>
          </w:tblCellMar>
        </w:tblPrEx>
        <w:trPr>
          <w:trHeight w:val="1620" w:hRule="atLeast"/>
        </w:trPr>
        <w:tc>
          <w:tcPr>
            <w:tcW w:w="40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18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both"/>
              <w:rPr>
                <w:rFonts w:hint="eastAsia" w:asciiTheme="minorEastAsia" w:hAnsiTheme="minorEastAsia" w:eastAsiaTheme="minorEastAsia" w:cstheme="minorEastAsia"/>
                <w:i w:val="0"/>
                <w:color w:val="000000"/>
                <w:sz w:val="24"/>
                <w:szCs w:val="24"/>
                <w:u w:val="none"/>
              </w:rPr>
            </w:pP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高低压转换圆盾适用于各种群体事件，开启电弧功能时，对方不可触摸盾牌表面，达到让人群后退或分散隔离的效果。适用于公安，武警处突驱散各种群体事件，最适用于近距离人群分散隔离；盾牌采用PC材料制作，盾体轻便坚固，抗打击性强。</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技术指标：</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1.采用PC材质制作，同时具备高压电击和低压脉冲两种输出模式；</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2.手持重量为</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3.35kg±0.05；</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3.外观尺寸：D58cm±2；</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4.放电方式：高压放电/脉冲放电可选；</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5.电池容量：4000mAh；</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6.充电电压：5V；</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7.充电时间：8小时；</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8.工作温度：-10—45度；</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9.连续脉冲释放时间：24h；</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10.连续高压放电时间：20min；</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11.高压放电方式：6个电击组随机释放10kV高压电；</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12.</w:t>
            </w:r>
            <w:r>
              <w:rPr>
                <w:rFonts w:hint="eastAsia" w:asciiTheme="minorEastAsia" w:hAnsiTheme="minorEastAsia" w:eastAsiaTheme="minorEastAsia" w:cstheme="minorEastAsia"/>
                <w:b w:val="0"/>
                <w:bCs w:val="0"/>
                <w:sz w:val="24"/>
                <w:szCs w:val="24"/>
              </w:rPr>
              <w:t>执行标准：GA422-2008《防暴盾牌》标准。</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需提供由国家认可的第三方检测机构出具符合“GA422-2008《防暴盾牌》”标准的检测报告复印件。【佐证材料</w:t>
            </w:r>
            <w:r>
              <w:rPr>
                <w:rFonts w:hint="eastAsia" w:asciiTheme="minorEastAsia" w:hAnsiTheme="minorEastAsia" w:cstheme="minorEastAsia"/>
                <w:b/>
                <w:bCs/>
                <w:sz w:val="24"/>
                <w:szCs w:val="24"/>
                <w:lang w:val="en-US" w:eastAsia="zh-CN"/>
              </w:rPr>
              <w:t>8</w:t>
            </w:r>
            <w:r>
              <w:rPr>
                <w:rFonts w:hint="eastAsia" w:asciiTheme="minorEastAsia" w:hAnsiTheme="minorEastAsia" w:eastAsiaTheme="minorEastAsia" w:cstheme="minorEastAsia"/>
                <w:b/>
                <w:bCs/>
                <w:sz w:val="24"/>
                <w:szCs w:val="24"/>
              </w:rPr>
              <w:t>】</w:t>
            </w: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0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光电隔离盾牌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50165</wp:posOffset>
                  </wp:positionH>
                  <wp:positionV relativeFrom="paragraph">
                    <wp:posOffset>937260</wp:posOffset>
                  </wp:positionV>
                  <wp:extent cx="1184910" cy="576580"/>
                  <wp:effectExtent l="0" t="0" r="15240" b="13970"/>
                  <wp:wrapSquare wrapText="bothSides"/>
                  <wp:docPr id="29" name="ID_9CACBFB0B5BB40609EC437332874A7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D_9CACBFB0B5BB40609EC437332874A774" descr="/"/>
                          <pic:cNvPicPr>
                            <a:picLocks noChangeAspect="1"/>
                          </pic:cNvPicPr>
                        </pic:nvPicPr>
                        <pic:blipFill>
                          <a:blip r:embed="rId38"/>
                          <a:stretch>
                            <a:fillRect/>
                          </a:stretch>
                        </pic:blipFill>
                        <pic:spPr>
                          <a:xfrm>
                            <a:off x="0" y="0"/>
                            <a:ext cx="1184910" cy="57658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产品描述：</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光电隔离驱散盾牌适用于各种群体事件，开启强光眩目功能时，人群不能正视盾牌方向，开启电弧功能时，对方不可触摸盾牌表面，达到让人群后退或分散隔离的效果，触摸的人也</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不会因为触碰受到伤害，强光可持续工作四十分种，电弧可连续工作24小时。</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适用于公安，武警处突驱散各种群体事件，最适用于近距离人群分散隔离；</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盾牌采用PC材料制作，盾体轻便坚固，抗打击性强，强光眩目采用100W/532波段，开启状态下使目标无法直视盾牌，电弧采用脉冲方式，对触摸人不产生任何伤害；</w:t>
            </w:r>
          </w:p>
          <w:p>
            <w:pP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技术指标：</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1.盾牌采用PC材料制作，盾体轻便坚固，抗打击性强；</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2.强光眩目采用100W/532波段，开启状态下使目标无法直视盾牌；</w:t>
            </w:r>
          </w:p>
          <w:p>
            <w:pPr>
              <w:pStyle w:val="2"/>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3.电弧采用脉冲方式，对触摸人不产生任何伤害，盾牌手持重量小于等于3.36KG</w:t>
            </w:r>
            <w:r>
              <w:rPr>
                <w:rFonts w:hint="eastAsia" w:asciiTheme="minorEastAsia" w:hAnsiTheme="minorEastAsia" w:eastAsiaTheme="minorEastAsia" w:cstheme="minorEastAsia"/>
                <w:b w:val="0"/>
                <w:bCs w:val="0"/>
                <w:sz w:val="24"/>
                <w:szCs w:val="24"/>
                <w:lang w:eastAsia="zh-CN"/>
              </w:rPr>
              <w:t>。</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执行标准：GA422-2008《防暴盾牌》标准。</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需提供由国家认可的第三方检测机构出具符合“GA422-2008《防暴盾牌》”标准的检测报告复印件。【佐证材料</w:t>
            </w:r>
            <w:r>
              <w:rPr>
                <w:rFonts w:hint="eastAsia" w:asciiTheme="minorEastAsia" w:hAnsiTheme="minorEastAsia" w:cstheme="minorEastAsia"/>
                <w:b/>
                <w:bCs/>
                <w:sz w:val="24"/>
                <w:szCs w:val="24"/>
                <w:lang w:val="en-US" w:eastAsia="zh-CN"/>
              </w:rPr>
              <w:t>9</w:t>
            </w:r>
            <w:r>
              <w:rPr>
                <w:rFonts w:hint="eastAsia" w:asciiTheme="minorEastAsia" w:hAnsiTheme="minorEastAsia" w:eastAsiaTheme="minorEastAsia" w:cstheme="minorEastAsia"/>
                <w:b/>
                <w:bCs/>
                <w:sz w:val="24"/>
                <w:szCs w:val="24"/>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5500</w:t>
            </w:r>
          </w:p>
        </w:tc>
      </w:tr>
      <w:tr>
        <w:tblPrEx>
          <w:tblLayout w:type="fixed"/>
          <w:tblCellMar>
            <w:top w:w="0" w:type="dxa"/>
            <w:left w:w="0" w:type="dxa"/>
            <w:bottom w:w="0" w:type="dxa"/>
            <w:right w:w="0" w:type="dxa"/>
          </w:tblCellMar>
        </w:tblPrEx>
        <w:trPr>
          <w:trHeight w:val="1573"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声波驱散盾牌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57150</wp:posOffset>
                  </wp:positionH>
                  <wp:positionV relativeFrom="paragraph">
                    <wp:posOffset>2409190</wp:posOffset>
                  </wp:positionV>
                  <wp:extent cx="954405" cy="753745"/>
                  <wp:effectExtent l="0" t="0" r="17145" b="8255"/>
                  <wp:wrapNone/>
                  <wp:docPr id="32" name="ID_7EEDA90A08A84466BAC32BC6E807676D"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D_7EEDA90A08A84466BAC32BC6E807676D" descr="/"/>
                          <pic:cNvPicPr>
                            <a:picLocks noChangeAspect="1"/>
                          </pic:cNvPicPr>
                        </pic:nvPicPr>
                        <pic:blipFill>
                          <a:blip r:embed="rId39"/>
                          <a:stretch>
                            <a:fillRect/>
                          </a:stretch>
                        </pic:blipFill>
                        <pic:spPr>
                          <a:xfrm>
                            <a:off x="0" y="0"/>
                            <a:ext cx="954405" cy="75374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产品描述：</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开启盾牌的强声噪音功能，盾牌可发出130分贝的强噪音，两米内几乎无法靠近，盾牌都是组合矩阵式操作，如果组合多面盾牌威力巨大。适用于公安，武警处突驱散各种群体事件。</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技术指标：</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1.采用PC材质制作；</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2.手持重量为4kg±0.05；</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3.外观尺寸：D58cm±2；</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4.工作电压：24V；</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5.电池容量：3400mA/h；</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6.耗电功率：40W；</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7.充电电压：25.2V；</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8.充电时间：≤8小时；</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9.声波响度：2m处≥130db；</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10.声波有效作用距离：≤20m；</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11.连续工作时间：≤1小时；</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12.工作温度：-10---50度；</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13.存储温度：-20---50度；</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14.保养方式：存储时每月充电一次；</w:t>
            </w:r>
          </w:p>
          <w:p>
            <w:pPr>
              <w:pStyle w:val="2"/>
              <w:keepNext w:val="0"/>
              <w:keepLines w:val="0"/>
              <w:pageBreakBefore w:val="0"/>
              <w:kinsoku/>
              <w:wordWrap/>
              <w:overflowPunct/>
              <w:topLinePunct w:val="0"/>
              <w:autoSpaceDE/>
              <w:autoSpaceDN/>
              <w:bidi w:val="0"/>
              <w:adjustRightInd/>
              <w:snapToGrid/>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执行标准：GA422-2008《防暴盾牌》标准。</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5600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5600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15</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声光驱散盾牌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1片</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114300</wp:posOffset>
                  </wp:positionH>
                  <wp:positionV relativeFrom="paragraph">
                    <wp:posOffset>795020</wp:posOffset>
                  </wp:positionV>
                  <wp:extent cx="1085850" cy="589915"/>
                  <wp:effectExtent l="0" t="0" r="0" b="635"/>
                  <wp:wrapSquare wrapText="bothSides"/>
                  <wp:docPr id="27" name="ID_52752331AA3E490FA9C842B44F265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D_52752331AA3E490FA9C842B44F265107" descr="/"/>
                          <pic:cNvPicPr>
                            <a:picLocks noChangeAspect="1"/>
                          </pic:cNvPicPr>
                        </pic:nvPicPr>
                        <pic:blipFill>
                          <a:blip r:embed="rId40"/>
                          <a:stretch>
                            <a:fillRect/>
                          </a:stretch>
                        </pic:blipFill>
                        <pic:spPr>
                          <a:xfrm>
                            <a:off x="0" y="0"/>
                            <a:ext cx="1085850" cy="589915"/>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产品描述：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适用于各种群体事件，开启盾牌绿色</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眩目强光，使对方人群不能正视盾牌方向，开启盾牌的强声功能，盾牌可发出130分贝的强噪音，两米内几乎无法靠近，驱散盾牌都是组合矩阵式操作，如果组合多面盾牌威力巨大。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适用于公安，武警处突驱散各种群体事件。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技术指标：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盾牌采用航空铝材材质制作，厚度为≤3.5mm,手持重量为≤6.2KG，盾体轻便坚固，抗打击性强；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2.光电眩目采用100W/532波段，开启状态下使目标无法直视盾牌，声波驱散采用高强度噪声波；</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执行标准：GA422-2008《防暴盾牌》标准。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需提供由国家认可的第三方检测机构出具符合“GA422-2008《防暴盾牌》”标准的检测报告复印件。【佐证材料1</w:t>
            </w:r>
            <w:r>
              <w:rPr>
                <w:rFonts w:hint="eastAsia" w:asciiTheme="minorEastAsia" w:hAnsiTheme="minorEastAsia" w:cstheme="minorEastAsia"/>
                <w:b/>
                <w:bCs/>
                <w:sz w:val="24"/>
                <w:szCs w:val="24"/>
                <w:lang w:val="en-US" w:eastAsia="zh-CN"/>
              </w:rPr>
              <w:t>0</w:t>
            </w:r>
            <w:r>
              <w:rPr>
                <w:rFonts w:hint="eastAsia" w:asciiTheme="minorEastAsia" w:hAnsiTheme="minorEastAsia" w:eastAsiaTheme="minorEastAsia" w:cstheme="minorEastAsia"/>
                <w:b/>
                <w:bCs/>
                <w:sz w:val="24"/>
                <w:szCs w:val="24"/>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6000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16</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熊喷催泪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260985</wp:posOffset>
                  </wp:positionH>
                  <wp:positionV relativeFrom="paragraph">
                    <wp:posOffset>271780</wp:posOffset>
                  </wp:positionV>
                  <wp:extent cx="506730" cy="1171575"/>
                  <wp:effectExtent l="0" t="0" r="7620" b="9525"/>
                  <wp:wrapSquare wrapText="bothSides"/>
                  <wp:docPr id="24" name="ID_D87EBA64F92340F8A2EF68EF3D269DCF"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D_D87EBA64F92340F8A2EF68EF3D269DCF" descr="/"/>
                          <pic:cNvPicPr>
                            <a:picLocks noChangeAspect="1"/>
                          </pic:cNvPicPr>
                        </pic:nvPicPr>
                        <pic:blipFill>
                          <a:blip r:embed="rId41"/>
                          <a:stretch>
                            <a:fillRect/>
                          </a:stretch>
                        </pic:blipFill>
                        <pic:spPr>
                          <a:xfrm>
                            <a:off x="0" y="0"/>
                            <a:ext cx="506730" cy="117157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技术参数：</w:t>
            </w:r>
          </w:p>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1.容量：600ML</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喷射状态：射流</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距离：5米</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高度：24cm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直径：6.7cm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辣椒素含量：5%</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7.</w:t>
            </w:r>
            <w:r>
              <w:rPr>
                <w:rFonts w:hint="eastAsia" w:asciiTheme="minorEastAsia" w:hAnsiTheme="minorEastAsia" w:eastAsiaTheme="minorEastAsia" w:cstheme="minorEastAsia"/>
                <w:b w:val="0"/>
                <w:bCs w:val="0"/>
                <w:sz w:val="24"/>
                <w:szCs w:val="24"/>
              </w:rPr>
              <w:t>执行标准：GA575-2005警用催泪喷射器。</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136</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680</w:t>
            </w:r>
          </w:p>
        </w:tc>
      </w:tr>
      <w:tr>
        <w:tblPrEx>
          <w:shd w:val="clear" w:color="auto" w:fill="auto"/>
          <w:tblLayout w:type="fixed"/>
          <w:tblCellMar>
            <w:top w:w="0" w:type="dxa"/>
            <w:left w:w="0" w:type="dxa"/>
            <w:bottom w:w="0" w:type="dxa"/>
            <w:right w:w="0" w:type="dxa"/>
          </w:tblCellMar>
        </w:tblPrEx>
        <w:trPr>
          <w:trHeight w:val="765"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背负式催泪</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52070</wp:posOffset>
                  </wp:positionH>
                  <wp:positionV relativeFrom="paragraph">
                    <wp:posOffset>441960</wp:posOffset>
                  </wp:positionV>
                  <wp:extent cx="963930" cy="651510"/>
                  <wp:effectExtent l="0" t="0" r="7620" b="15240"/>
                  <wp:wrapSquare wrapText="bothSides"/>
                  <wp:docPr id="30" name="ID_2C56D6D85A3A49A6985475C2417315C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D_2C56D6D85A3A49A6985475C2417315CB" descr="/"/>
                          <pic:cNvPicPr>
                            <a:picLocks noChangeAspect="1"/>
                          </pic:cNvPicPr>
                        </pic:nvPicPr>
                        <pic:blipFill>
                          <a:blip r:embed="rId42"/>
                          <a:stretch>
                            <a:fillRect/>
                          </a:stretch>
                        </pic:blipFill>
                        <pic:spPr>
                          <a:xfrm>
                            <a:off x="0" y="0"/>
                            <a:ext cx="963930" cy="65151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numPr>
                <w:ilvl w:val="0"/>
                <w:numId w:val="14"/>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重复灌装式催泪驱散器由阀门、</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喷射枪、背夹组件、药筒构成，</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催泪剂为OC，配有护目镜、口罩等附件。</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2、外观：表面光滑、无划痕、无磨损、无毛刺、无油渍、外观清洁、无变形，部件齐全、装配紧密，表面印刷字样、图案清晰、完整、牢固。</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3、尺寸：驱散器高度：265MM，直径66MM；</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4、重量：6.47KG，容量：6L；</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5、催泪剂有效成分为：OC、有效成分含量：1.6%；</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6、喷射性能：在风速2m/s以下顺风喷射，喷射状态为雾状，有效喷射距离：10M，有效喷射时间：12.4S。</w:t>
            </w:r>
          </w:p>
          <w:p>
            <w:pPr>
              <w:pStyle w:val="2"/>
              <w:numPr>
                <w:ilvl w:val="0"/>
                <w:numId w:val="0"/>
              </w:numPr>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7、安全性：驱散器设计有防止误喷的保险开关</w:t>
            </w:r>
            <w:r>
              <w:rPr>
                <w:rFonts w:hint="eastAsia" w:asciiTheme="minorEastAsia" w:hAnsiTheme="minorEastAsia" w:eastAsiaTheme="minorEastAsia" w:cstheme="minorEastAsia"/>
                <w:b w:val="0"/>
                <w:bCs w:val="0"/>
                <w:sz w:val="24"/>
                <w:szCs w:val="24"/>
                <w:lang w:eastAsia="zh-CN"/>
              </w:rPr>
              <w:t>。</w:t>
            </w:r>
          </w:p>
          <w:p>
            <w:pPr>
              <w:pStyle w:val="2"/>
              <w:numPr>
                <w:ilvl w:val="0"/>
                <w:numId w:val="0"/>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8、高低温性能：将产品置于-30℃±2℃、55℃±2℃的恒温环境下持续放置4h，过程中不解体、不泄漏、不爆裂、试验后应符合喷射性能要求。</w:t>
            </w:r>
          </w:p>
          <w:p>
            <w:pPr>
              <w:pStyle w:val="2"/>
              <w:numPr>
                <w:ilvl w:val="0"/>
                <w:numId w:val="0"/>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val="0"/>
                <w:bCs w:val="0"/>
                <w:sz w:val="24"/>
                <w:szCs w:val="24"/>
              </w:rPr>
              <w:t>9、执行标准：《GA 884-2010公安单警装备 警用催泪喷射器》</w:t>
            </w:r>
            <w:r>
              <w:rPr>
                <w:rFonts w:hint="eastAsia" w:asciiTheme="minorEastAsia" w:hAnsiTheme="minorEastAsia" w:eastAsiaTheme="minorEastAsia" w:cstheme="minorEastAsia"/>
                <w:b w:val="0"/>
                <w:bCs w:val="0"/>
                <w:sz w:val="24"/>
                <w:szCs w:val="24"/>
                <w:lang w:eastAsia="zh-CN"/>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3800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7600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18</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金龙绊马索</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2套</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8255</wp:posOffset>
                  </wp:positionH>
                  <wp:positionV relativeFrom="paragraph">
                    <wp:posOffset>209550</wp:posOffset>
                  </wp:positionV>
                  <wp:extent cx="1042035" cy="952500"/>
                  <wp:effectExtent l="0" t="0" r="5715" b="0"/>
                  <wp:wrapSquare wrapText="bothSides"/>
                  <wp:docPr id="23" name="ID_823AC442C26C4A2FA62941EBB16D6A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D_823AC442C26C4A2FA62941EBB16D6A09" descr="/"/>
                          <pic:cNvPicPr>
                            <a:picLocks noChangeAspect="1"/>
                          </pic:cNvPicPr>
                        </pic:nvPicPr>
                        <pic:blipFill>
                          <a:blip r:embed="rId43"/>
                          <a:stretch>
                            <a:fillRect/>
                          </a:stretch>
                        </pic:blipFill>
                        <pic:spPr>
                          <a:xfrm>
                            <a:off x="0" y="0"/>
                            <a:ext cx="1042035" cy="952500"/>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技术参数：</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1.尺寸：18048mm；</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2.重量：361g（不包含小气瓶）；</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3.绳索：3M凯夫拉编织绳；</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4.动力：8g小气瓶；</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4"/>
                <w:szCs w:val="24"/>
                <w:lang w:val="en-US" w:eastAsia="zh-CN" w:bidi="ar-SA"/>
              </w:rPr>
              <w:t>5.配备：T3排扣；</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1450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2900</w:t>
            </w:r>
          </w:p>
        </w:tc>
      </w:tr>
      <w:tr>
        <w:tblPrEx>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19</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电击抓捕手套</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82550</wp:posOffset>
                  </wp:positionH>
                  <wp:positionV relativeFrom="paragraph">
                    <wp:posOffset>2675255</wp:posOffset>
                  </wp:positionV>
                  <wp:extent cx="971550" cy="544195"/>
                  <wp:effectExtent l="0" t="0" r="0" b="8255"/>
                  <wp:wrapNone/>
                  <wp:docPr id="25" name="ID_EFF75B5545D64C88A5F771F082DE36B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D_EFF75B5545D64C88A5F771F082DE36B3" descr="/"/>
                          <pic:cNvPicPr>
                            <a:picLocks noChangeAspect="1"/>
                          </pic:cNvPicPr>
                        </pic:nvPicPr>
                        <pic:blipFill>
                          <a:blip r:embed="rId44"/>
                          <a:stretch>
                            <a:fillRect/>
                          </a:stretch>
                        </pic:blipFill>
                        <pic:spPr>
                          <a:xfrm>
                            <a:off x="0" y="0"/>
                            <a:ext cx="971550" cy="544195"/>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产品描述：</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防割防水擒拿抓捕手套是利用一种低压脉冲电流对人体肌肉具有收缩作用，在一定的小电流通入人体中，使人体肌肉产生收缩、痉挛的强烈反应, 人体即刻失去攻击能力和反抗能力，束手就擒；从而达到瞬间控制制服目标人物的效果，是特别为公安抓捕、庭审押解、狱警转押犯人、航空安保等执法领域执法队伍量身定制的非伤害性执法武器。</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产品特点：</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1.轻便小巧，无体积和质量重负，两秒启动引擎，操作便捷；</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2.握手或抓住对方手腕，对方即刻失去攻击能力，束手就擒；</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3.隐蔽优势明显，便于近身作战；</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4.表面采用完美的人性化设计，符合人体工程学原理；</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5.最适合在室内或较狭小的环境中大显神威；</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6.输出电流：15mA-30mA，与现有的高压电击手套相比，无伤害作用；</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7.手套手掌手指和手心部分部位必须防刀割，手背手掌部位和手套内衬防水，防雨淋；</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8.电子脉冲方式，瞬间即可解除束缚，对皮肤表面无任何创伤；</w:t>
            </w:r>
          </w:p>
          <w:p>
            <w:pPr>
              <w:pStyle w:val="2"/>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技术指标：</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1.启动时间≤3秒，手套材质皮革绝缘材料，工作时间≥8小时，连击时间≥1.5小时；</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2.电池材质内置锂电池，充电后可反复使用，充电电压3.7v，电极特性：成爪状；</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lang w:val="en-US" w:eastAsia="zh-CN"/>
              </w:rPr>
              <w:t>3.输出电流15mA-30mA,输出电压220v-380v，电子脉冲方式，重量260g-650g。</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2680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2680</w:t>
            </w:r>
          </w:p>
        </w:tc>
      </w:tr>
      <w:tr>
        <w:tblPrEx>
          <w:shd w:val="clear" w:color="auto" w:fill="auto"/>
          <w:tblLayout w:type="fixed"/>
          <w:tblCellMar>
            <w:top w:w="0" w:type="dxa"/>
            <w:left w:w="0" w:type="dxa"/>
            <w:bottom w:w="0" w:type="dxa"/>
            <w:right w:w="0" w:type="dxa"/>
          </w:tblCellMar>
        </w:tblPrEx>
        <w:trPr>
          <w:trHeight w:val="279"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20</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抓捕器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2套</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rPr>
            </w:pPr>
          </w:p>
          <w:p>
            <w:pPr>
              <w:pStyle w:val="2"/>
              <w:rPr>
                <w:rFonts w:hint="eastAsia"/>
              </w:rPr>
            </w:pPr>
          </w:p>
          <w:p>
            <w:pPr>
              <w:rPr>
                <w:rFonts w:hint="eastAsia"/>
              </w:rPr>
            </w:pPr>
          </w:p>
          <w:p>
            <w:pPr>
              <w:pStyle w:val="2"/>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1136015" cy="2602865"/>
                  <wp:effectExtent l="0" t="0" r="6985" b="6985"/>
                  <wp:docPr id="16" name="图片 16" descr="抓捕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抓捕器"/>
                          <pic:cNvPicPr>
                            <a:picLocks noChangeAspect="1"/>
                          </pic:cNvPicPr>
                        </pic:nvPicPr>
                        <pic:blipFill>
                          <a:blip r:embed="rId45"/>
                          <a:stretch>
                            <a:fillRect/>
                          </a:stretch>
                        </pic:blipFill>
                        <pic:spPr>
                          <a:xfrm>
                            <a:off x="0" y="0"/>
                            <a:ext cx="1136015" cy="2602865"/>
                          </a:xfrm>
                          <a:prstGeom prst="rect">
                            <a:avLst/>
                          </a:prstGeom>
                        </pic:spPr>
                      </pic:pic>
                    </a:graphicData>
                  </a:graphic>
                </wp:inline>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伸缩式抓捕脚叉</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技术参数：</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1.材质：304不锈钢；</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2.手柄材质;ABS工程塑料；</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3.抓捕头材质：高强度合金+ABS工程塑料；</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4.不锈钢管壁厚：1.5mm；</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5.伸展长度：1.96m；</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6.收缩长度：1.26m；</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7.重量：1.7kg；</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8.包装：布套；</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9.当发生突发事件时，拉足杆头，向右转45度即可固定，使用方便，灵活，杆体部分横向可承重200公斤，</w:t>
            </w:r>
          </w:p>
          <w:p>
            <w:pP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纵向用力，重量250kg以上，每只脚叉送牛津布收纳袋。</w:t>
            </w:r>
          </w:p>
          <w:p>
            <w:pP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val="0"/>
                <w:bCs w:val="0"/>
                <w:kern w:val="2"/>
                <w:sz w:val="24"/>
                <w:szCs w:val="24"/>
                <w:lang w:val="en-US" w:eastAsia="zh-CN" w:bidi="ar-SA"/>
              </w:rPr>
              <w:t>10.执行标准：GA/T1145-2014警用约束叉。</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120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240</w:t>
            </w:r>
          </w:p>
        </w:tc>
      </w:tr>
      <w:tr>
        <w:tblPrEx>
          <w:shd w:val="clear" w:color="auto" w:fill="auto"/>
          <w:tblLayout w:type="fixed"/>
          <w:tblCellMar>
            <w:top w:w="0" w:type="dxa"/>
            <w:left w:w="0" w:type="dxa"/>
            <w:bottom w:w="0" w:type="dxa"/>
            <w:right w:w="0" w:type="dxa"/>
          </w:tblCellMar>
        </w:tblPrEx>
        <w:trPr>
          <w:trHeight w:val="30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约束叉</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5个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193040</wp:posOffset>
                  </wp:positionH>
                  <wp:positionV relativeFrom="paragraph">
                    <wp:posOffset>1049020</wp:posOffset>
                  </wp:positionV>
                  <wp:extent cx="799465" cy="971550"/>
                  <wp:effectExtent l="0" t="0" r="635" b="0"/>
                  <wp:wrapSquare wrapText="bothSides"/>
                  <wp:docPr id="33" name="ID_E445DC9A293B4922BFA8A27A032B54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D_E445DC9A293B4922BFA8A27A032B5421" descr="/"/>
                          <pic:cNvPicPr>
                            <a:picLocks noChangeAspect="1"/>
                          </pic:cNvPicPr>
                        </pic:nvPicPr>
                        <pic:blipFill>
                          <a:blip r:embed="rId46"/>
                          <a:stretch>
                            <a:fillRect/>
                          </a:stretch>
                        </pic:blipFill>
                        <pic:spPr>
                          <a:xfrm>
                            <a:off x="0" y="0"/>
                            <a:ext cx="799465" cy="971550"/>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pPr>
              <w:keepNext w:val="0"/>
              <w:keepLines w:val="0"/>
              <w:widowControl/>
              <w:numPr>
                <w:ilvl w:val="0"/>
                <w:numId w:val="15"/>
              </w:numPr>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抓捕器材质:航空铝材；</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收缩：128cm   伸长:210cm</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总重量:2.5±0.15kg</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月牙环最大直径:680mm</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月牙环最大开启距离:420mm</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手持握杆直径:33±1mm</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产品特点：半自动收缩</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减少和抓捕对象之间的身体接触</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伸缩式设计，使用更快捷方便</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非致命性武器</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保护警务工作人员生命安全</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 尾部破窗设计</w:t>
            </w:r>
            <w:r>
              <w:rPr>
                <w:rFonts w:hint="eastAsia" w:asciiTheme="minorEastAsia" w:hAnsiTheme="minorEastAsia" w:eastAsiaTheme="minorEastAsia" w:cstheme="minorEastAsia"/>
                <w:b w:val="0"/>
                <w:bCs w:val="0"/>
                <w:sz w:val="24"/>
                <w:szCs w:val="24"/>
                <w:lang w:eastAsia="zh-CN"/>
              </w:rPr>
              <w:t>；</w:t>
            </w:r>
          </w:p>
          <w:p>
            <w:pPr>
              <w:pStyle w:val="2"/>
              <w:numPr>
                <w:ilvl w:val="0"/>
                <w:numId w:val="15"/>
              </w:num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执行标准：GA/T1145-2014警用约束叉、GA 172-2014金属手铐</w:t>
            </w:r>
            <w:r>
              <w:rPr>
                <w:rFonts w:hint="eastAsia" w:asciiTheme="minorEastAsia" w:hAnsiTheme="minorEastAsia" w:eastAsiaTheme="minorEastAsia" w:cstheme="minorEastAsia"/>
                <w:b w:val="0"/>
                <w:bCs w:val="0"/>
                <w:sz w:val="24"/>
                <w:szCs w:val="24"/>
                <w:lang w:eastAsia="zh-CN"/>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353</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1765</w:t>
            </w:r>
          </w:p>
        </w:tc>
      </w:tr>
      <w:tr>
        <w:tblPrEx>
          <w:shd w:val="clear" w:color="auto" w:fill="auto"/>
          <w:tblLayout w:type="fixed"/>
          <w:tblCellMar>
            <w:top w:w="0" w:type="dxa"/>
            <w:left w:w="0" w:type="dxa"/>
            <w:bottom w:w="0" w:type="dxa"/>
            <w:right w:w="0" w:type="dxa"/>
          </w:tblCellMar>
        </w:tblPrEx>
        <w:trPr>
          <w:trHeight w:val="30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电击抓捕器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1个</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both"/>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149225</wp:posOffset>
                  </wp:positionH>
                  <wp:positionV relativeFrom="paragraph">
                    <wp:posOffset>657225</wp:posOffset>
                  </wp:positionV>
                  <wp:extent cx="773430" cy="686435"/>
                  <wp:effectExtent l="0" t="0" r="7620" b="18415"/>
                  <wp:wrapSquare wrapText="bothSides"/>
                  <wp:docPr id="31" name="ID_44C8B49B4D0043C08C748617E0DAA00A"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D_44C8B49B4D0043C08C748617E0DAA00A" descr="/"/>
                          <pic:cNvPicPr>
                            <a:picLocks noChangeAspect="1"/>
                          </pic:cNvPicPr>
                        </pic:nvPicPr>
                        <pic:blipFill>
                          <a:blip r:embed="rId47"/>
                          <a:stretch>
                            <a:fillRect/>
                          </a:stretch>
                        </pic:blipFill>
                        <pic:spPr>
                          <a:xfrm>
                            <a:off x="0" y="0"/>
                            <a:ext cx="773430" cy="686435"/>
                          </a:xfrm>
                          <a:prstGeom prst="rect">
                            <a:avLst/>
                          </a:prstGeom>
                          <a:noFill/>
                          <a:ln>
                            <a:noFill/>
                          </a:ln>
                        </pic:spPr>
                      </pic:pic>
                    </a:graphicData>
                  </a:graphic>
                </wp:anchor>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产品特点：</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1.主体结构采用高强度铝合金型材制成，月牙环部分采用坚固的工程塑料制作；</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2.两个电击头在月牙环内侧两边释放电击；</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3.夺刀利器，月牙环外部设计狼牙刺，防止拉拽破坏，具备攻击能力，也可防刀砍；运动灵活可靠，操作方便；</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4.工作长度可伸缩，适用于狭小或空旷的不同处置场合，并携带方便。</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装有防抢夺装置，利于处警过程安全。装有可击碎各种门窗玻璃的安全锤，并可安装专门警用装备、工具盒专门研制的其他附加装置，以扩展产品功能；</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技术指标：</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1.产品规格正常尺寸：约1280mm(长)X367mm(宽)；</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正常工作状态尺寸：约1280mm(长)X367mm(宽)；</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加长工作状态尺寸：约2020mm(长)X367mm(宽)；</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.重量：≤3kg；输入：DC5V/2A；</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高压输出：3万VX2；</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.强光电筒额定功率：3W；电池容量：4000mAh；</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抓捕器材质：航空铝材；</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rPr>
              <w:t>.月牙环最大直径为367±10mm；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月牙环最大开启距离235±10mm；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月牙环闭合圆宽度为200±5~24.5±5mm ；</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手持握杆直径为33±1mm ；</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最小工作长度为1280±10mm ；</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最大工作长度为2020±10mm；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最小工作长度时可承受加长杆拔出力不小于500N；</w:t>
            </w:r>
          </w:p>
          <w:p>
            <w:pPr>
              <w:pStyle w:val="2"/>
              <w:numPr>
                <w:ilvl w:val="0"/>
                <w:numId w:val="16"/>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最大工作长度时，在长度方向的中点可承受的弯曲力不小于500N；</w:t>
            </w:r>
          </w:p>
          <w:p>
            <w:pPr>
              <w:pStyle w:val="2"/>
              <w:numPr>
                <w:ilvl w:val="0"/>
                <w:numId w:val="16"/>
              </w:num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月牙开关到确认开关的距离90mm；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9.</w:t>
            </w:r>
            <w:r>
              <w:rPr>
                <w:rFonts w:hint="eastAsia" w:asciiTheme="minorEastAsia" w:hAnsiTheme="minorEastAsia" w:eastAsiaTheme="minorEastAsia" w:cstheme="minorEastAsia"/>
                <w:b w:val="0"/>
                <w:bCs w:val="0"/>
                <w:sz w:val="24"/>
                <w:szCs w:val="24"/>
              </w:rPr>
              <w:t>月牙开关到功能开关的距离120mm；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10.</w:t>
            </w:r>
            <w:r>
              <w:rPr>
                <w:rFonts w:hint="eastAsia" w:asciiTheme="minorEastAsia" w:hAnsiTheme="minorEastAsia" w:eastAsiaTheme="minorEastAsia" w:cstheme="minorEastAsia"/>
                <w:b w:val="0"/>
                <w:bCs w:val="0"/>
                <w:sz w:val="24"/>
                <w:szCs w:val="24"/>
              </w:rPr>
              <w:t>执行标准：GA/T1145-2014警用约束叉。</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需提供由国家认可的第三方检测机构出具符合“GA/T1145-2014警用约束叉”标准的检测报告复印件。【佐证材料1</w:t>
            </w:r>
            <w:r>
              <w:rPr>
                <w:rFonts w:hint="eastAsia" w:asciiTheme="minorEastAsia" w:hAnsi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2250</w:t>
            </w:r>
          </w:p>
        </w:tc>
      </w:tr>
      <w:tr>
        <w:tblPrEx>
          <w:shd w:val="clear" w:color="auto" w:fill="auto"/>
          <w:tblLayout w:type="fixed"/>
          <w:tblCellMar>
            <w:top w:w="0" w:type="dxa"/>
            <w:left w:w="0" w:type="dxa"/>
            <w:bottom w:w="0" w:type="dxa"/>
            <w:right w:w="0" w:type="dxa"/>
          </w:tblCellMar>
        </w:tblPrEx>
        <w:trPr>
          <w:trHeight w:val="27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23</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发射T型棍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1套</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anchor distT="0" distB="0" distL="114300" distR="114300" simplePos="0" relativeHeight="251658240" behindDoc="0" locked="0" layoutInCell="1" allowOverlap="1">
                  <wp:simplePos x="0" y="0"/>
                  <wp:positionH relativeFrom="column">
                    <wp:posOffset>231775</wp:posOffset>
                  </wp:positionH>
                  <wp:positionV relativeFrom="paragraph">
                    <wp:posOffset>205105</wp:posOffset>
                  </wp:positionV>
                  <wp:extent cx="650875" cy="956945"/>
                  <wp:effectExtent l="0" t="0" r="15875" b="14605"/>
                  <wp:wrapSquare wrapText="bothSides"/>
                  <wp:docPr id="34" name="ID_DFAE1BFEB3EA43C2883E418C378B6E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D_DFAE1BFEB3EA43C2883E418C378B6E49" descr="/"/>
                          <pic:cNvPicPr>
                            <a:picLocks noChangeAspect="1"/>
                          </pic:cNvPicPr>
                        </pic:nvPicPr>
                        <pic:blipFill>
                          <a:blip r:embed="rId48"/>
                          <a:stretch>
                            <a:fillRect/>
                          </a:stretch>
                        </pic:blipFill>
                        <pic:spPr>
                          <a:xfrm>
                            <a:off x="0" y="0"/>
                            <a:ext cx="650875" cy="956945"/>
                          </a:xfrm>
                          <a:prstGeom prst="rect">
                            <a:avLst/>
                          </a:prstGeom>
                          <a:noFill/>
                          <a:ln>
                            <a:noFill/>
                          </a:ln>
                        </pic:spPr>
                      </pic:pic>
                    </a:graphicData>
                  </a:graphic>
                </wp:anchor>
              </w:drawing>
            </w:r>
          </w:p>
        </w:tc>
        <w:tc>
          <w:tcPr>
            <w:tcW w:w="338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技术参数：</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1.尺寸：635ⅹ47ⅹ200mm；</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2.重量：1249g（不包含气瓶和球）；</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3.动力：12g小氮瓶；</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4.发射器：0.68英寸辣椒球，记号球，</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香粉球，橡胶球；</w:t>
            </w:r>
          </w:p>
          <w:p>
            <w:pPr>
              <w:pStyle w:val="2"/>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5.最大装填量：6颗；</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kern w:val="2"/>
                <w:sz w:val="24"/>
                <w:szCs w:val="24"/>
                <w:lang w:val="en-US" w:eastAsia="zh-CN" w:bidi="ar-SA"/>
              </w:rPr>
              <w:t>6.出球口速度：355FPS。</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2150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2150</w:t>
            </w:r>
          </w:p>
        </w:tc>
      </w:tr>
      <w:tr>
        <w:tblPrEx>
          <w:shd w:val="clear" w:color="auto" w:fill="auto"/>
          <w:tblLayout w:type="fixed"/>
          <w:tblCellMar>
            <w:top w:w="0" w:type="dxa"/>
            <w:left w:w="0" w:type="dxa"/>
            <w:bottom w:w="0" w:type="dxa"/>
            <w:right w:w="0" w:type="dxa"/>
          </w:tblCellMar>
        </w:tblPrEx>
        <w:trPr>
          <w:trHeight w:val="579"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24</w:t>
            </w:r>
          </w:p>
        </w:tc>
        <w:tc>
          <w:tcPr>
            <w:tcW w:w="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防暴服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lang w:val="en-US"/>
              </w:rPr>
            </w:pPr>
            <w:r>
              <w:rPr>
                <w:rFonts w:hint="eastAsia" w:asciiTheme="minorEastAsia" w:hAnsiTheme="minorEastAsia" w:eastAsiaTheme="minorEastAsia" w:cstheme="minorEastAsia"/>
                <w:i w:val="0"/>
                <w:color w:val="000000"/>
                <w:kern w:val="0"/>
                <w:sz w:val="24"/>
                <w:szCs w:val="24"/>
                <w:u w:val="none"/>
                <w:lang w:val="en-US" w:eastAsia="zh-CN" w:bidi="ar"/>
              </w:rPr>
              <w:t>2套</w:t>
            </w:r>
          </w:p>
        </w:tc>
        <w:tc>
          <w:tcPr>
            <w:tcW w:w="1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p>
          <w:p>
            <w:pPr>
              <w:keepNext w:val="0"/>
              <w:keepLines w:val="0"/>
              <w:widowControl/>
              <w:suppressLineNumbers w:val="0"/>
              <w:jc w:val="center"/>
              <w:textAlignment w:val="top"/>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bdr w:val="single" w:color="000000" w:sz="4" w:space="0"/>
                <w:lang w:val="en-US" w:eastAsia="zh-CN" w:bidi="ar"/>
              </w:rPr>
              <w:drawing>
                <wp:inline distT="0" distB="0" distL="114300" distR="114300">
                  <wp:extent cx="901065" cy="1375410"/>
                  <wp:effectExtent l="0" t="0" r="13335" b="15240"/>
                  <wp:docPr id="18" name="图片 18" descr="防暴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防暴服"/>
                          <pic:cNvPicPr>
                            <a:picLocks noChangeAspect="1"/>
                          </pic:cNvPicPr>
                        </pic:nvPicPr>
                        <pic:blipFill>
                          <a:blip r:embed="rId49"/>
                          <a:stretch>
                            <a:fillRect/>
                          </a:stretch>
                        </pic:blipFill>
                        <pic:spPr>
                          <a:xfrm>
                            <a:off x="0" y="0"/>
                            <a:ext cx="901065" cy="1375410"/>
                          </a:xfrm>
                          <a:prstGeom prst="rect">
                            <a:avLst/>
                          </a:prstGeom>
                        </pic:spPr>
                      </pic:pic>
                    </a:graphicData>
                  </a:graphic>
                </wp:inline>
              </w:drawing>
            </w:r>
          </w:p>
        </w:tc>
        <w:tc>
          <w:tcPr>
            <w:tcW w:w="33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技术参数：</w:t>
            </w:r>
          </w:p>
          <w:p>
            <w:pPr>
              <w:keepNext w:val="0"/>
              <w:keepLines w:val="0"/>
              <w:widowControl/>
              <w:suppressLineNumbers w:val="0"/>
              <w:jc w:val="left"/>
              <w:textAlignment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1、材质:高强度、高韧抗击打、吸能材料（前胸后背为铝合金材质）。</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2、规格：适合身高165cm-185cm警员穿着，还可以根据需求定制。</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该产品应用了模块化设计思路，产品结构设计有效地增强了透气性、灵活性，进一步提高了更全面的防护性能，各部件可根据实战需要单独拆分使用；甲片上的通风透气孔增加了空气流通性，有利于散热。前胸、后背预留的插板开口可添加防刺或防弹差插板（选配），有效地增强了其防御性能；可伸缩转动式护肘和护膝使四肢关节活动更灵活。胸甲与减震层采用活连接，便于拆洗。</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技术指标：</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执行标准：《GA420-2008 警用防暴服》</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适    宜：气候炎热地区防暴警察日常训练、镇暴使用。</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3、主要特点：前胸后背防护件内置，可以根据客户需要定制防护内胆，以达到多种作战需求。</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4、防护面积：前胸及裆部≥0.10㎡，后背≥0.105㎡，上肢（按双肢计）≥0.185㎡ 下肢（按双肢计，含脚背）≥0.32㎡。</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5、结构连接强度：插扣强力：＞500N，尼龙搭扣的扣合强度：＞7.0N/cm²，连接带强力：＞2000N。</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6、耐冲击性能：以120J动能冲击，防护部件不破损、开裂。</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7、击打能量吸收性能：将防暴服的前胸、后背部件分别平放于标准胶泥上，以100J的能量冲击，胶泥压痕深度不超过20mm。</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8、防刺性能：前胸、后背及前档用GA68规定的标准试验刀具，以20J动能穿刺，刀尖不穿透。</w:t>
            </w:r>
          </w:p>
          <w:p>
            <w:pPr>
              <w:pStyle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8、击打能量吸收性能：将防暴服的前胸、后背部件分别平放于标准胶泥上，以100J的能量冲击，胶泥压痕深度不超过20mm。</w:t>
            </w:r>
          </w:p>
          <w:p>
            <w:pPr>
              <w:pStyle w:val="2"/>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10、总 质 量：标配铝合金插板为8.5kg，不含铝板≤7.3kg。</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2230</w:t>
            </w:r>
          </w:p>
        </w:tc>
        <w:tc>
          <w:tcPr>
            <w:tcW w:w="7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4460</w:t>
            </w:r>
          </w:p>
        </w:tc>
      </w:tr>
      <w:tr>
        <w:tblPrEx>
          <w:shd w:val="clear" w:color="auto" w:fill="auto"/>
          <w:tblLayout w:type="fixed"/>
          <w:tblCellMar>
            <w:top w:w="0" w:type="dxa"/>
            <w:left w:w="0" w:type="dxa"/>
            <w:bottom w:w="0" w:type="dxa"/>
            <w:right w:w="0" w:type="dxa"/>
          </w:tblCellMar>
        </w:tblPrEx>
        <w:trPr>
          <w:trHeight w:val="480" w:hRule="atLeast"/>
        </w:trPr>
        <w:tc>
          <w:tcPr>
            <w:tcW w:w="4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0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3387"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181785</w:t>
            </w:r>
          </w:p>
        </w:tc>
      </w:tr>
    </w:tbl>
    <w:p>
      <w:pPr>
        <w:pStyle w:val="7"/>
        <w:keepNext w:val="0"/>
        <w:keepLines w:val="0"/>
        <w:widowControl/>
        <w:suppressLineNumbers w:val="0"/>
        <w:spacing w:before="75" w:beforeAutospacing="0" w:after="75" w:afterAutospacing="0"/>
        <w:ind w:left="0" w:right="0" w:firstLine="0"/>
        <w:rPr>
          <w:rFonts w:hint="eastAsia" w:ascii="宋体" w:hAnsi="宋体" w:eastAsia="宋体" w:cs="宋体"/>
          <w:b/>
          <w:bCs/>
          <w:spacing w:val="0"/>
          <w:sz w:val="24"/>
          <w:szCs w:val="24"/>
        </w:rPr>
      </w:pPr>
    </w:p>
    <w:p>
      <w:pPr>
        <w:pStyle w:val="7"/>
        <w:keepNext w:val="0"/>
        <w:keepLines w:val="0"/>
        <w:widowControl/>
        <w:suppressLineNumbers w:val="0"/>
        <w:spacing w:before="75" w:beforeAutospacing="0" w:after="75" w:afterAutospacing="0"/>
        <w:ind w:left="0" w:right="0" w:firstLine="0"/>
        <w:rPr>
          <w:b/>
          <w:bCs/>
        </w:rPr>
      </w:pPr>
      <w:r>
        <w:rPr>
          <w:rFonts w:hint="eastAsia" w:ascii="宋体" w:hAnsi="宋体" w:eastAsia="宋体" w:cs="宋体"/>
          <w:b/>
          <w:bCs/>
          <w:spacing w:val="0"/>
          <w:sz w:val="24"/>
          <w:szCs w:val="24"/>
        </w:rPr>
        <w:t>三、商务条件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1、交付地点：福建省福州市晋安区前横路127号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2、交付时间：合同签订后 (</w:t>
      </w:r>
      <w:r>
        <w:rPr>
          <w:rFonts w:hint="eastAsia" w:ascii="宋体" w:hAnsi="宋体" w:eastAsia="宋体" w:cs="宋体"/>
          <w:spacing w:val="0"/>
          <w:sz w:val="24"/>
          <w:szCs w:val="24"/>
          <w:lang w:val="en-US" w:eastAsia="zh-CN"/>
        </w:rPr>
        <w:t>20</w:t>
      </w:r>
      <w:r>
        <w:rPr>
          <w:rFonts w:hint="eastAsia" w:ascii="宋体" w:hAnsi="宋体" w:eastAsia="宋体" w:cs="宋体"/>
          <w:spacing w:val="0"/>
          <w:sz w:val="24"/>
          <w:szCs w:val="24"/>
        </w:rPr>
        <w:t>) 天内交货</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3、交付条件：符合</w:t>
      </w:r>
      <w:r>
        <w:rPr>
          <w:rFonts w:hint="eastAsia" w:ascii="宋体" w:hAnsi="宋体" w:eastAsia="宋体" w:cs="宋体"/>
          <w:spacing w:val="0"/>
          <w:sz w:val="24"/>
          <w:szCs w:val="24"/>
          <w:lang w:val="en-US" w:eastAsia="zh-CN"/>
        </w:rPr>
        <w:t>谈判</w:t>
      </w:r>
      <w:r>
        <w:rPr>
          <w:rFonts w:hint="eastAsia" w:ascii="宋体" w:hAnsi="宋体" w:eastAsia="宋体" w:cs="宋体"/>
          <w:spacing w:val="0"/>
          <w:sz w:val="24"/>
          <w:szCs w:val="24"/>
        </w:rPr>
        <w:t>文件验收要求</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4、是否收取履约保证金：</w:t>
      </w:r>
      <w:r>
        <w:rPr>
          <w:rStyle w:val="10"/>
          <w:rFonts w:hint="eastAsia" w:ascii="宋体" w:hAnsi="宋体" w:eastAsia="宋体" w:cs="宋体"/>
          <w:spacing w:val="0"/>
          <w:sz w:val="24"/>
          <w:szCs w:val="24"/>
        </w:rPr>
        <w:t xml:space="preserve"> 是。履约保证金百分比：</w:t>
      </w:r>
      <w:r>
        <w:rPr>
          <w:rStyle w:val="10"/>
          <w:rFonts w:hint="eastAsia" w:ascii="宋体" w:hAnsi="宋体" w:eastAsia="宋体" w:cs="宋体"/>
          <w:spacing w:val="0"/>
          <w:sz w:val="24"/>
          <w:szCs w:val="24"/>
          <w:lang w:val="en-US" w:eastAsia="zh-CN"/>
        </w:rPr>
        <w:t>5</w:t>
      </w:r>
      <w:r>
        <w:rPr>
          <w:rStyle w:val="10"/>
          <w:rFonts w:hint="eastAsia" w:ascii="宋体" w:hAnsi="宋体" w:eastAsia="宋体" w:cs="宋体"/>
          <w:spacing w:val="0"/>
          <w:sz w:val="24"/>
          <w:szCs w:val="24"/>
        </w:rPr>
        <w:t>%。说明：签订合同前，中标人需缴纳成交总价的</w:t>
      </w:r>
      <w:r>
        <w:rPr>
          <w:rStyle w:val="10"/>
          <w:rFonts w:hint="eastAsia" w:ascii="宋体" w:hAnsi="宋体" w:eastAsia="宋体" w:cs="宋体"/>
          <w:spacing w:val="0"/>
          <w:sz w:val="24"/>
          <w:szCs w:val="24"/>
          <w:lang w:val="en-US" w:eastAsia="zh-CN"/>
        </w:rPr>
        <w:t>5</w:t>
      </w:r>
      <w:r>
        <w:rPr>
          <w:rStyle w:val="10"/>
          <w:rFonts w:hint="eastAsia" w:ascii="宋体" w:hAnsi="宋体" w:eastAsia="宋体" w:cs="宋体"/>
          <w:spacing w:val="0"/>
          <w:sz w:val="24"/>
          <w:szCs w:val="24"/>
        </w:rPr>
        <w:t>%履约保证金。履约保证金缴纳后，合同方可生效。该履约保证金在项目验收合格后转为质量保证金。项目验收合格1年后，成交人完整履行采购合同，无合同条款所规定的未了事件，并由使用部门确认无质量问题后，则以银行转账方式无息退还给成交人。</w:t>
      </w:r>
      <w:r>
        <w:rPr>
          <w:rStyle w:val="10"/>
          <w:rFonts w:hint="eastAsia" w:ascii="宋体" w:hAnsi="宋体" w:eastAsia="宋体" w:cs="宋体"/>
          <w:spacing w:val="0"/>
          <w:sz w:val="24"/>
          <w:szCs w:val="24"/>
        </w:rPr>
        <w:br w:type="textWrapping"/>
      </w:r>
      <w:r>
        <w:rPr>
          <w:rFonts w:hint="eastAsia" w:ascii="宋体" w:hAnsi="宋体" w:eastAsia="宋体" w:cs="宋体"/>
          <w:spacing w:val="0"/>
          <w:sz w:val="24"/>
          <w:szCs w:val="24"/>
        </w:rPr>
        <w:t>5、是否邀请投标人参与验收：否</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6、验收方式数据表格</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rHeight w:val="2696" w:hRule="atLeast"/>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665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验收应按照</w:t>
            </w:r>
            <w:r>
              <w:rPr>
                <w:rFonts w:hint="eastAsia" w:ascii="宋体" w:hAnsi="宋体" w:eastAsia="宋体" w:cs="宋体"/>
                <w:kern w:val="0"/>
                <w:sz w:val="24"/>
                <w:szCs w:val="24"/>
                <w:lang w:val="en-US" w:eastAsia="zh-CN" w:bidi="ar"/>
              </w:rPr>
              <w:t>谈判</w:t>
            </w:r>
            <w:r>
              <w:rPr>
                <w:rFonts w:ascii="宋体" w:hAnsi="宋体" w:eastAsia="宋体" w:cs="宋体"/>
                <w:kern w:val="0"/>
                <w:sz w:val="24"/>
                <w:szCs w:val="24"/>
                <w:lang w:val="en-US" w:eastAsia="zh-CN" w:bidi="ar"/>
              </w:rPr>
              <w:t>文件、</w:t>
            </w:r>
            <w:r>
              <w:rPr>
                <w:rFonts w:hint="eastAsia" w:ascii="宋体" w:hAnsi="宋体" w:eastAsia="宋体" w:cs="宋体"/>
                <w:kern w:val="0"/>
                <w:sz w:val="24"/>
                <w:szCs w:val="24"/>
                <w:lang w:val="en-US" w:eastAsia="zh-CN" w:bidi="ar"/>
              </w:rPr>
              <w:t>成交人响应</w:t>
            </w:r>
            <w:r>
              <w:rPr>
                <w:rFonts w:ascii="宋体" w:hAnsi="宋体" w:eastAsia="宋体" w:cs="宋体"/>
                <w:kern w:val="0"/>
                <w:sz w:val="24"/>
                <w:szCs w:val="24"/>
                <w:lang w:val="en-US" w:eastAsia="zh-CN" w:bidi="ar"/>
              </w:rPr>
              <w:t>文件的规定或约定进行具体如下: 1、采购人最终用户负责货物清点和验收。</w:t>
            </w:r>
            <w:r>
              <w:rPr>
                <w:rFonts w:hint="eastAsia" w:ascii="宋体" w:hAnsi="宋体" w:eastAsia="宋体" w:cs="宋体"/>
                <w:kern w:val="0"/>
                <w:sz w:val="24"/>
                <w:szCs w:val="24"/>
                <w:lang w:val="en-US" w:eastAsia="zh-CN" w:bidi="ar"/>
              </w:rPr>
              <w:t>成交人</w:t>
            </w:r>
            <w:r>
              <w:rPr>
                <w:rFonts w:ascii="宋体" w:hAnsi="宋体" w:eastAsia="宋体" w:cs="宋体"/>
                <w:kern w:val="0"/>
                <w:sz w:val="24"/>
                <w:szCs w:val="24"/>
                <w:lang w:val="en-US" w:eastAsia="zh-CN" w:bidi="ar"/>
              </w:rPr>
              <w:t>所提供的货物</w:t>
            </w:r>
            <w:r>
              <w:rPr>
                <w:rFonts w:hint="eastAsia" w:ascii="宋体" w:hAnsi="宋体" w:eastAsia="宋体" w:cs="宋体"/>
                <w:kern w:val="0"/>
                <w:sz w:val="24"/>
                <w:szCs w:val="24"/>
                <w:lang w:val="en-US" w:eastAsia="zh-CN" w:bidi="ar"/>
              </w:rPr>
              <w:t>进行测试合格</w:t>
            </w:r>
            <w:r>
              <w:rPr>
                <w:rFonts w:ascii="宋体" w:hAnsi="宋体" w:eastAsia="宋体" w:cs="宋体"/>
                <w:kern w:val="0"/>
                <w:sz w:val="24"/>
                <w:szCs w:val="24"/>
                <w:lang w:val="en-US" w:eastAsia="zh-CN" w:bidi="ar"/>
              </w:rPr>
              <w:t>后，采购人最终用户必须按本项目合同所约定的货物清单及要求对货物的 品</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牌、外观、规格、数量</w:t>
            </w:r>
            <w:r>
              <w:rPr>
                <w:rFonts w:hint="eastAsia" w:ascii="宋体" w:hAnsi="宋体" w:eastAsia="宋体" w:cs="宋体"/>
                <w:kern w:val="0"/>
                <w:sz w:val="24"/>
                <w:szCs w:val="24"/>
                <w:lang w:val="en-US" w:eastAsia="zh-CN" w:bidi="ar"/>
              </w:rPr>
              <w:t>测</w:t>
            </w:r>
            <w:r>
              <w:rPr>
                <w:rFonts w:ascii="宋体" w:hAnsi="宋体" w:eastAsia="宋体" w:cs="宋体"/>
                <w:kern w:val="0"/>
                <w:sz w:val="24"/>
                <w:szCs w:val="24"/>
                <w:lang w:val="en-US" w:eastAsia="zh-CN" w:bidi="ar"/>
              </w:rPr>
              <w:t>试后的使用性能状况及其他进行验收，</w:t>
            </w:r>
            <w:r>
              <w:rPr>
                <w:rFonts w:hint="eastAsia" w:ascii="宋体" w:hAnsi="宋体" w:eastAsia="宋体" w:cs="宋体"/>
                <w:kern w:val="0"/>
                <w:sz w:val="24"/>
                <w:szCs w:val="24"/>
                <w:lang w:val="en-US" w:eastAsia="zh-CN" w:bidi="ar"/>
              </w:rPr>
              <w:t>成交人</w:t>
            </w:r>
            <w:r>
              <w:rPr>
                <w:rFonts w:ascii="宋体" w:hAnsi="宋体" w:eastAsia="宋体" w:cs="宋体"/>
                <w:kern w:val="0"/>
                <w:sz w:val="24"/>
                <w:szCs w:val="24"/>
                <w:lang w:val="en-US" w:eastAsia="zh-CN" w:bidi="ar"/>
              </w:rPr>
              <w:t>必须在验收现场提供必要的技术支持。 2、验收结果经采购人、</w:t>
            </w:r>
            <w:r>
              <w:rPr>
                <w:rFonts w:hint="eastAsia" w:ascii="宋体" w:hAnsi="宋体" w:eastAsia="宋体" w:cs="宋体"/>
                <w:kern w:val="0"/>
                <w:sz w:val="24"/>
                <w:szCs w:val="24"/>
                <w:lang w:val="en-US" w:eastAsia="zh-CN" w:bidi="ar"/>
              </w:rPr>
              <w:t>成交人</w:t>
            </w:r>
            <w:r>
              <w:rPr>
                <w:rFonts w:ascii="宋体" w:hAnsi="宋体" w:eastAsia="宋体" w:cs="宋体"/>
                <w:kern w:val="0"/>
                <w:sz w:val="24"/>
                <w:szCs w:val="24"/>
                <w:lang w:val="en-US" w:eastAsia="zh-CN" w:bidi="ar"/>
              </w:rPr>
              <w:t>双方确认</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 xml:space="preserve"> 3、如货物在保证期内被证明存在缺陷，包括潜在的缺陷或使用不合适的材料，采购人有权凭有关证明文件向</w:t>
            </w:r>
            <w:r>
              <w:rPr>
                <w:rFonts w:hint="eastAsia" w:ascii="宋体" w:hAnsi="宋体" w:eastAsia="宋体" w:cs="宋体"/>
                <w:kern w:val="0"/>
                <w:sz w:val="24"/>
                <w:szCs w:val="24"/>
                <w:lang w:val="en-US" w:eastAsia="zh-CN" w:bidi="ar"/>
              </w:rPr>
              <w:t>成交人</w:t>
            </w:r>
            <w:r>
              <w:rPr>
                <w:rFonts w:ascii="宋体" w:hAnsi="宋体" w:eastAsia="宋体" w:cs="宋体"/>
                <w:kern w:val="0"/>
                <w:sz w:val="24"/>
                <w:szCs w:val="24"/>
                <w:lang w:val="en-US" w:eastAsia="zh-CN" w:bidi="ar"/>
              </w:rPr>
              <w:t>提出索赔。</w:t>
            </w:r>
          </w:p>
        </w:tc>
      </w:tr>
    </w:tbl>
    <w:p>
      <w:pPr>
        <w:keepNext w:val="0"/>
        <w:keepLines w:val="0"/>
        <w:widowControl/>
        <w:suppressLineNumbers w:val="0"/>
        <w:jc w:val="left"/>
      </w:pPr>
      <w:r>
        <w:rPr>
          <w:rFonts w:ascii="宋体" w:hAnsi="宋体" w:eastAsia="宋体" w:cs="宋体"/>
          <w:kern w:val="0"/>
          <w:sz w:val="24"/>
          <w:szCs w:val="24"/>
          <w:lang w:val="en-US" w:eastAsia="zh-CN" w:bidi="ar"/>
        </w:rPr>
        <w:t>7、支付方式数据表格</w:t>
      </w:r>
    </w:p>
    <w:tbl>
      <w:tblPr>
        <w:tblStyle w:val="8"/>
        <w:tblW w:w="8322"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64"/>
        <w:gridCol w:w="1665"/>
        <w:gridCol w:w="499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Ex>
        <w:tc>
          <w:tcPr>
            <w:tcW w:w="16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166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highlight w:val="none"/>
              </w:rPr>
            </w:pPr>
            <w:r>
              <w:rPr>
                <w:rFonts w:ascii="宋体" w:hAnsi="宋体" w:eastAsia="宋体" w:cs="宋体"/>
                <w:kern w:val="0"/>
                <w:sz w:val="24"/>
                <w:szCs w:val="24"/>
                <w:highlight w:val="none"/>
                <w:lang w:val="en-US" w:eastAsia="zh-CN" w:bidi="ar"/>
              </w:rPr>
              <w:t>100</w:t>
            </w:r>
          </w:p>
        </w:tc>
        <w:tc>
          <w:tcPr>
            <w:tcW w:w="4993" w:type="dxa"/>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8"/>
              <w:tblW w:w="499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99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highlight w:val="none"/>
                    </w:rPr>
                  </w:pPr>
                  <w:r>
                    <w:rPr>
                      <w:rFonts w:hint="eastAsia" w:ascii="宋体" w:hAnsi="宋体" w:eastAsia="宋体" w:cs="宋体"/>
                      <w:kern w:val="0"/>
                      <w:sz w:val="24"/>
                      <w:szCs w:val="24"/>
                      <w:highlight w:val="none"/>
                      <w:lang w:val="en-US" w:eastAsia="zh-CN" w:bidi="ar"/>
                    </w:rPr>
                    <w:t>货物</w:t>
                  </w:r>
                  <w:r>
                    <w:rPr>
                      <w:rFonts w:ascii="宋体" w:hAnsi="宋体" w:eastAsia="宋体" w:cs="宋体"/>
                      <w:kern w:val="0"/>
                      <w:sz w:val="24"/>
                      <w:szCs w:val="24"/>
                      <w:highlight w:val="none"/>
                      <w:lang w:val="en-US" w:eastAsia="zh-CN" w:bidi="ar"/>
                    </w:rPr>
                    <w:t>完成安装、调试及按合同要求验收合格运行</w:t>
                  </w:r>
                  <w:r>
                    <w:rPr>
                      <w:rFonts w:hint="eastAsia" w:ascii="宋体" w:hAnsi="宋体" w:eastAsia="宋体" w:cs="宋体"/>
                      <w:kern w:val="0"/>
                      <w:sz w:val="24"/>
                      <w:szCs w:val="24"/>
                      <w:highlight w:val="none"/>
                      <w:lang w:val="en-US" w:eastAsia="zh-CN" w:bidi="ar"/>
                    </w:rPr>
                    <w:t>1</w:t>
                  </w:r>
                  <w:r>
                    <w:rPr>
                      <w:rFonts w:ascii="宋体" w:hAnsi="宋体" w:eastAsia="宋体" w:cs="宋体"/>
                      <w:kern w:val="0"/>
                      <w:sz w:val="24"/>
                      <w:szCs w:val="24"/>
                      <w:highlight w:val="none"/>
                      <w:lang w:val="en-US" w:eastAsia="zh-CN" w:bidi="ar"/>
                    </w:rPr>
                    <w:t>个月后，无质量问题下一次性全额付款（</w:t>
                  </w:r>
                  <w:r>
                    <w:rPr>
                      <w:rFonts w:hint="eastAsia" w:ascii="宋体" w:hAnsi="宋体" w:eastAsia="宋体" w:cs="宋体"/>
                      <w:kern w:val="0"/>
                      <w:sz w:val="24"/>
                      <w:szCs w:val="24"/>
                      <w:highlight w:val="none"/>
                      <w:lang w:val="en-US" w:eastAsia="zh-CN" w:bidi="ar"/>
                    </w:rPr>
                    <w:t>成交人</w:t>
                  </w:r>
                  <w:r>
                    <w:rPr>
                      <w:rFonts w:ascii="宋体" w:hAnsi="宋体" w:eastAsia="宋体" w:cs="宋体"/>
                      <w:kern w:val="0"/>
                      <w:sz w:val="24"/>
                      <w:szCs w:val="24"/>
                      <w:highlight w:val="none"/>
                      <w:lang w:val="en-US" w:eastAsia="zh-CN" w:bidi="ar"/>
                    </w:rPr>
                    <w:t>须提供全额发票）。</w:t>
                  </w:r>
                </w:p>
              </w:tc>
            </w:tr>
          </w:tbl>
          <w:p>
            <w:pPr>
              <w:keepNext w:val="0"/>
              <w:keepLines w:val="0"/>
              <w:widowControl/>
              <w:suppressLineNumbers w:val="0"/>
              <w:jc w:val="left"/>
              <w:rPr>
                <w:highlight w:val="none"/>
              </w:rPr>
            </w:pPr>
          </w:p>
        </w:tc>
      </w:tr>
    </w:tbl>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spacing w:val="0"/>
          <w:sz w:val="24"/>
          <w:szCs w:val="24"/>
        </w:rPr>
        <w:t> </w:t>
      </w:r>
      <w:r>
        <w:rPr>
          <w:rStyle w:val="10"/>
          <w:rFonts w:hint="eastAsia" w:ascii="宋体" w:hAnsi="宋体" w:eastAsia="宋体" w:cs="宋体"/>
          <w:b/>
        </w:rPr>
        <w:t>8、售 后 服 务及其他要求</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1.</w:t>
      </w:r>
      <w:r>
        <w:rPr>
          <w:rFonts w:hint="eastAsia" w:ascii="宋体" w:hAnsi="宋体" w:eastAsia="宋体" w:cs="宋体"/>
          <w:color w:val="393939"/>
          <w:sz w:val="24"/>
          <w:szCs w:val="24"/>
          <w:shd w:val="clear" w:fill="FFFFFF"/>
          <w:lang w:val="en-US" w:eastAsia="zh-CN"/>
        </w:rPr>
        <w:t>供应 商</w:t>
      </w:r>
      <w:r>
        <w:rPr>
          <w:rFonts w:hint="eastAsia" w:ascii="宋体" w:hAnsi="宋体" w:eastAsia="宋体" w:cs="宋体"/>
          <w:color w:val="393939"/>
          <w:sz w:val="24"/>
          <w:szCs w:val="24"/>
          <w:shd w:val="clear" w:fill="FFFFFF"/>
        </w:rPr>
        <w:t>报价应包含</w:t>
      </w:r>
      <w:r>
        <w:rPr>
          <w:rFonts w:hint="eastAsia" w:ascii="宋体" w:hAnsi="宋体" w:eastAsia="宋体" w:cs="宋体"/>
          <w:color w:val="393939"/>
          <w:sz w:val="24"/>
          <w:szCs w:val="24"/>
          <w:shd w:val="clear" w:fill="FFFFFF"/>
          <w:lang w:val="en-US" w:eastAsia="zh-CN"/>
        </w:rPr>
        <w:t>货物</w:t>
      </w:r>
      <w:r>
        <w:rPr>
          <w:rFonts w:hint="eastAsia" w:ascii="宋体" w:hAnsi="宋体" w:eastAsia="宋体" w:cs="宋体"/>
          <w:color w:val="393939"/>
          <w:sz w:val="24"/>
          <w:szCs w:val="24"/>
          <w:shd w:val="clear" w:fill="FFFFFF"/>
        </w:rPr>
        <w:t>的制造、包装、运输、装卸、保险、调试、验收、</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人员培 训（如需去厂家培 训、考察、验收等异地费用不含在投标总价内，即不列入政府采购费用支出）、检验、税金和售后 服务等一切费用。</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 xml:space="preserve">2. </w:t>
      </w:r>
      <w:r>
        <w:rPr>
          <w:rFonts w:hint="eastAsia" w:ascii="宋体" w:hAnsi="宋体" w:eastAsia="宋体" w:cs="宋体"/>
          <w:color w:val="393939"/>
          <w:sz w:val="24"/>
          <w:szCs w:val="24"/>
          <w:shd w:val="clear" w:fill="FFFFFF"/>
          <w:lang w:val="en-US" w:eastAsia="zh-CN"/>
        </w:rPr>
        <w:t>供应 商</w:t>
      </w:r>
      <w:r>
        <w:rPr>
          <w:rFonts w:hint="eastAsia" w:ascii="宋体" w:hAnsi="宋体" w:eastAsia="宋体" w:cs="宋体"/>
          <w:color w:val="393939"/>
          <w:sz w:val="24"/>
          <w:szCs w:val="24"/>
          <w:shd w:val="clear" w:fill="FFFFFF"/>
        </w:rPr>
        <w:t>所供货的产品必须为厂商出厂的原装未开封的新产品，每台设备同时应向采购人提供产品验收标准、产品合格证和合同中要求的其他文件资料1套，其费用包括在投标价格中。</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3. 质保期限要求：除采购货物技术要求中特别说明之外，</w:t>
      </w:r>
      <w:r>
        <w:rPr>
          <w:rStyle w:val="10"/>
          <w:rFonts w:hint="eastAsia" w:ascii="宋体" w:hAnsi="宋体" w:eastAsia="宋体" w:cs="宋体"/>
          <w:b/>
          <w:sz w:val="24"/>
          <w:szCs w:val="24"/>
        </w:rPr>
        <w:t>本次采购的货物均需提供</w:t>
      </w:r>
      <w:r>
        <w:rPr>
          <w:rStyle w:val="10"/>
          <w:rFonts w:hint="eastAsia" w:ascii="宋体" w:hAnsi="宋体" w:eastAsia="宋体" w:cs="宋体"/>
          <w:b/>
          <w:sz w:val="24"/>
          <w:szCs w:val="24"/>
          <w:lang w:val="en-US" w:eastAsia="zh-CN"/>
        </w:rPr>
        <w:t>2</w:t>
      </w:r>
      <w:r>
        <w:rPr>
          <w:rStyle w:val="10"/>
          <w:rFonts w:hint="eastAsia" w:ascii="宋体" w:hAnsi="宋体" w:eastAsia="宋体" w:cs="宋体"/>
          <w:b/>
          <w:sz w:val="24"/>
          <w:szCs w:val="24"/>
        </w:rPr>
        <w:t>年保修。每年提供</w:t>
      </w:r>
      <w:r>
        <w:rPr>
          <w:rStyle w:val="10"/>
          <w:rFonts w:hint="eastAsia" w:ascii="宋体" w:hAnsi="宋体" w:eastAsia="宋体" w:cs="宋体"/>
          <w:b/>
          <w:sz w:val="24"/>
          <w:szCs w:val="24"/>
          <w:lang w:val="en-US" w:eastAsia="zh-CN"/>
        </w:rPr>
        <w:t>4</w:t>
      </w:r>
      <w:r>
        <w:rPr>
          <w:rStyle w:val="10"/>
          <w:rFonts w:hint="eastAsia" w:ascii="宋体" w:hAnsi="宋体" w:eastAsia="宋体" w:cs="宋体"/>
          <w:b/>
          <w:sz w:val="24"/>
          <w:szCs w:val="24"/>
        </w:rPr>
        <w:t>次的上门维护、保养。平时不定期进行免费维护。</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所有保修服务的保修期自验收日起计算，保修费用计入总价。</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4. 保修期内，负责货物维修，调整或更换零配件，不再收取任何费用。质量保修期内要求现场保修的货物在运行中发生问题，</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color w:val="393939"/>
          <w:sz w:val="24"/>
          <w:szCs w:val="24"/>
          <w:shd w:val="clear" w:fill="FFFFFF"/>
        </w:rPr>
        <w:t>最终维修响应时间不得超过24小时，维修人员应在获知设备故障后3天内到达维修现场。所有货物保修服务均为</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color w:val="393939"/>
          <w:sz w:val="24"/>
          <w:szCs w:val="24"/>
          <w:shd w:val="clear" w:fill="FFFFFF"/>
        </w:rPr>
        <w:t>上门保修，由此产生的一切费用均由</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color w:val="393939"/>
          <w:sz w:val="24"/>
          <w:szCs w:val="24"/>
          <w:shd w:val="clear" w:fill="FFFFFF"/>
        </w:rPr>
        <w:t>承担。</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rPr>
        <w:t>5. 各</w:t>
      </w:r>
      <w:r>
        <w:rPr>
          <w:rFonts w:hint="eastAsia" w:ascii="宋体" w:hAnsi="宋体" w:eastAsia="宋体" w:cs="宋体"/>
          <w:color w:val="393939"/>
          <w:sz w:val="24"/>
          <w:szCs w:val="24"/>
          <w:shd w:val="clear" w:fill="FFFFFF"/>
          <w:lang w:val="en-US" w:eastAsia="zh-CN"/>
        </w:rPr>
        <w:t>供应 商</w:t>
      </w:r>
      <w:r>
        <w:rPr>
          <w:rFonts w:hint="eastAsia" w:ascii="宋体" w:hAnsi="宋体" w:eastAsia="宋体" w:cs="宋体"/>
          <w:color w:val="393939"/>
          <w:sz w:val="24"/>
          <w:szCs w:val="24"/>
          <w:shd w:val="clear" w:fill="FFFFFF"/>
        </w:rPr>
        <w:t>可视自身能力在</w:t>
      </w:r>
      <w:r>
        <w:rPr>
          <w:rFonts w:hint="eastAsia" w:ascii="宋体" w:hAnsi="宋体" w:eastAsia="宋体" w:cs="宋体"/>
          <w:color w:val="393939"/>
          <w:sz w:val="24"/>
          <w:szCs w:val="24"/>
          <w:shd w:val="clear" w:fill="FFFFFF"/>
          <w:lang w:val="en-US" w:eastAsia="zh-CN"/>
        </w:rPr>
        <w:t>需要</w:t>
      </w:r>
      <w:r>
        <w:rPr>
          <w:rFonts w:hint="eastAsia" w:ascii="宋体" w:hAnsi="宋体" w:eastAsia="宋体" w:cs="宋体"/>
          <w:color w:val="393939"/>
          <w:sz w:val="24"/>
          <w:szCs w:val="24"/>
          <w:shd w:val="clear" w:fill="FFFFFF"/>
        </w:rPr>
        <w:t>文件中提供更优、更合理的售后 服务承诺。</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color w:val="393939"/>
          <w:sz w:val="24"/>
          <w:szCs w:val="24"/>
          <w:shd w:val="clear" w:fill="FFFFFF"/>
          <w:lang w:val="en-US" w:eastAsia="zh-CN"/>
        </w:rPr>
        <w:t>6</w:t>
      </w:r>
      <w:r>
        <w:rPr>
          <w:rFonts w:hint="eastAsia" w:ascii="宋体" w:hAnsi="宋体" w:eastAsia="宋体" w:cs="宋体"/>
          <w:color w:val="393939"/>
          <w:sz w:val="24"/>
          <w:szCs w:val="24"/>
          <w:shd w:val="clear" w:fill="FFFFFF"/>
        </w:rPr>
        <w:t xml:space="preserve">. </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color w:val="393939"/>
          <w:sz w:val="24"/>
          <w:szCs w:val="24"/>
          <w:shd w:val="clear" w:fill="FFFFFF"/>
        </w:rPr>
        <w:t>在保修期内有义务和责任为用户单位进行技术支持服务。</w:t>
      </w:r>
    </w:p>
    <w:p>
      <w:pPr>
        <w:pStyle w:val="7"/>
        <w:keepNext w:val="0"/>
        <w:keepLines w:val="0"/>
        <w:widowControl/>
        <w:suppressLineNumbers w:val="0"/>
        <w:spacing w:before="0" w:beforeAutospacing="0" w:after="0" w:afterAutospacing="0" w:line="405" w:lineRule="atLeast"/>
        <w:ind w:left="0" w:right="0"/>
      </w:pPr>
      <w:r>
        <w:rPr>
          <w:rStyle w:val="10"/>
          <w:rFonts w:hint="eastAsia" w:ascii="宋体" w:hAnsi="宋体" w:eastAsia="宋体" w:cs="宋体"/>
          <w:b/>
        </w:rPr>
        <w:t>9.违约责任：</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sz w:val="24"/>
          <w:szCs w:val="24"/>
        </w:rPr>
        <w:t>9.1</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sz w:val="24"/>
          <w:szCs w:val="24"/>
        </w:rPr>
        <w:t>按合同清单上的货物运达指 定地点并安装</w:t>
      </w:r>
      <w:r>
        <w:rPr>
          <w:rFonts w:hint="eastAsia" w:ascii="宋体" w:hAnsi="宋体" w:eastAsia="宋体" w:cs="宋体"/>
          <w:sz w:val="24"/>
          <w:szCs w:val="24"/>
          <w:lang w:val="en-US" w:eastAsia="zh-CN"/>
        </w:rPr>
        <w:t>测试</w:t>
      </w:r>
      <w:r>
        <w:rPr>
          <w:rFonts w:hint="eastAsia" w:ascii="宋体" w:hAnsi="宋体" w:eastAsia="宋体" w:cs="宋体"/>
          <w:sz w:val="24"/>
          <w:szCs w:val="24"/>
        </w:rPr>
        <w:t>完成后，采购人应严格按照</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文件要求在双方约定的时间内进行验收，采购人无正当理由不得无故拖延验收时间。</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sz w:val="24"/>
          <w:szCs w:val="24"/>
        </w:rPr>
        <w:t>9.2</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sz w:val="24"/>
          <w:szCs w:val="24"/>
        </w:rPr>
        <w:t>所交货物不符合本文件合同要求的，采购人有权拒收并没收其履约保证金。</w:t>
      </w:r>
    </w:p>
    <w:p>
      <w:pPr>
        <w:pStyle w:val="7"/>
        <w:keepNext w:val="0"/>
        <w:keepLines w:val="0"/>
        <w:widowControl/>
        <w:suppressLineNumbers w:val="0"/>
        <w:spacing w:before="0" w:beforeAutospacing="0" w:after="0" w:afterAutospacing="0" w:line="405" w:lineRule="atLeast"/>
        <w:ind w:left="0" w:right="0"/>
      </w:pPr>
      <w:r>
        <w:rPr>
          <w:rFonts w:hint="eastAsia" w:ascii="宋体" w:hAnsi="宋体" w:eastAsia="宋体" w:cs="宋体"/>
          <w:sz w:val="24"/>
          <w:szCs w:val="24"/>
        </w:rPr>
        <w:t>9.3</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sz w:val="24"/>
          <w:szCs w:val="24"/>
        </w:rPr>
        <w:t>不能交付货物的，采购人没收其履约保证金。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z w:val="24"/>
          <w:szCs w:val="24"/>
        </w:rPr>
        <w:t>9.4</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sz w:val="24"/>
          <w:szCs w:val="24"/>
        </w:rPr>
        <w:t>逾期交付货物，</w:t>
      </w:r>
      <w:r>
        <w:rPr>
          <w:rFonts w:hint="eastAsia" w:ascii="宋体" w:hAnsi="宋体" w:eastAsia="宋体" w:cs="宋体"/>
          <w:color w:val="393939"/>
          <w:sz w:val="24"/>
          <w:szCs w:val="24"/>
          <w:shd w:val="clear" w:fill="FFFFFF"/>
          <w:lang w:val="en-US" w:eastAsia="zh-CN"/>
        </w:rPr>
        <w:t>成交人</w:t>
      </w:r>
      <w:r>
        <w:rPr>
          <w:rFonts w:hint="eastAsia" w:ascii="宋体" w:hAnsi="宋体" w:eastAsia="宋体" w:cs="宋体"/>
          <w:sz w:val="24"/>
          <w:szCs w:val="24"/>
        </w:rPr>
        <w:t>应向采购人每日偿付货款5‰的违约金。</w:t>
      </w:r>
    </w:p>
    <w:p>
      <w:pPr>
        <w:pStyle w:val="7"/>
        <w:keepNext w:val="0"/>
        <w:keepLines w:val="0"/>
        <w:widowControl/>
        <w:suppressLineNumbers w:val="0"/>
        <w:spacing w:before="75" w:beforeAutospacing="0" w:after="75" w:afterAutospacing="0"/>
        <w:ind w:left="0" w:right="0" w:firstLine="0"/>
        <w:rPr>
          <w:b/>
          <w:bCs/>
        </w:rPr>
      </w:pPr>
      <w:r>
        <w:rPr>
          <w:rFonts w:hint="eastAsia" w:ascii="宋体" w:hAnsi="宋体" w:eastAsia="宋体" w:cs="宋体"/>
          <w:b/>
          <w:bCs/>
          <w:spacing w:val="0"/>
          <w:sz w:val="24"/>
          <w:szCs w:val="24"/>
        </w:rPr>
        <w:t>四、其他事项</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 </w:t>
      </w:r>
      <w:r>
        <w:rPr>
          <w:rFonts w:hint="eastAsia" w:ascii="宋体" w:hAnsi="宋体" w:eastAsia="宋体" w:cs="宋体"/>
        </w:rPr>
        <w:t>（1）</w:t>
      </w:r>
      <w:r>
        <w:rPr>
          <w:rFonts w:hint="eastAsia" w:ascii="宋体" w:hAnsi="宋体" w:eastAsia="宋体" w:cs="宋体"/>
          <w:lang w:val="en-US" w:eastAsia="zh-CN"/>
        </w:rPr>
        <w:t>供应 商</w:t>
      </w:r>
      <w:r>
        <w:rPr>
          <w:rFonts w:hint="eastAsia" w:ascii="宋体" w:hAnsi="宋体" w:eastAsia="宋体" w:cs="宋体"/>
        </w:rPr>
        <w:t>所投产品中若有节能减排和3C，在供货时需提供相关认证的证明材料。</w:t>
      </w:r>
      <w:r>
        <w:rPr>
          <w:rFonts w:hint="eastAsia" w:ascii="宋体" w:hAnsi="宋体" w:eastAsia="宋体" w:cs="宋体"/>
        </w:rPr>
        <w:br w:type="textWrapping"/>
      </w:r>
    </w:p>
    <w:p>
      <w:pPr>
        <w:keepNext w:val="0"/>
        <w:keepLines w:val="0"/>
        <w:widowControl/>
        <w:suppressLineNumbers w:val="0"/>
        <w:jc w:val="left"/>
      </w:pPr>
      <w:r>
        <w:rPr>
          <w:rFonts w:hint="eastAsia" w:ascii="微软雅黑" w:hAnsi="微软雅黑" w:eastAsia="微软雅黑" w:cs="微软雅黑"/>
          <w:i w:val="0"/>
          <w:caps w:val="0"/>
          <w:color w:val="393939"/>
          <w:spacing w:val="0"/>
          <w:kern w:val="0"/>
          <w:sz w:val="19"/>
          <w:szCs w:val="19"/>
          <w:shd w:val="clear" w:fill="FFFFFF"/>
          <w:lang w:val="en-US" w:eastAsia="zh-CN" w:bidi="ar"/>
        </w:rPr>
        <w:t> </w:t>
      </w: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keepNext w:val="0"/>
        <w:keepLines w:val="0"/>
        <w:widowControl/>
        <w:suppressLineNumbers w:val="0"/>
        <w:jc w:val="center"/>
      </w:pPr>
      <w:r>
        <w:rPr>
          <w:rStyle w:val="10"/>
          <w:rFonts w:hint="eastAsia" w:ascii="宋体" w:hAnsi="宋体" w:eastAsia="宋体" w:cs="宋体"/>
          <w:b/>
          <w:spacing w:val="0"/>
          <w:sz w:val="24"/>
          <w:szCs w:val="24"/>
        </w:rPr>
        <w:t>第四章  合同主要条款及格式</w:t>
      </w:r>
    </w:p>
    <w:p>
      <w:pPr>
        <w:pStyle w:val="7"/>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编制说明</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1、签订合同应遵守《中华人民共和国政府采购法》、《中华人民共和国民法典》。</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3.本章节所附的合同主要条款及格式为参考文本，如果因为项目实际特点不能适用，则可由甲乙双方在合同签订阶段可通过友好协商进行约定。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甲方：（采购人全称）</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乙方：（成交供应商全称）</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根据项目编号为       的（填写“项目名称”）项目（以下简称：“本项目”）的谈判结果，乙方为成交供应商。现经甲乙双方友好协商，就以下事项达成一致并签订本合同：</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1、下列合同文件是构成本合同不可分割的部分：</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1.1合同条款；</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1.2谈判文件、乙方的响应文件；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2、合同标的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3、合同总金额</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3.1合同总金额为人民币大写：              元（￥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4、合同标的交付时间、地点和条件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4.1交付时间：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4.2交付地点：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4.3交付条件：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5、合同标的应符合谈判文件、乙方响应文件的规定或约定，具体如下：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6、验收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6.1验收应按照谈判文件、乙方响应文件的规定或约定进行，具体如下：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6.2本项目是否邀请其他供应商参与验收：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□不邀请。□邀请，具体如下：（按照谈判文件规定填写）。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7、合同款项的支付应按照谈判文件的规定进行，具体如下：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（根据实际情况填写，可以是表格或文字描述，包括一次性支付或分期支付等）。</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8、履约保证金</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□无。□有，具体如下：（按照谈判文件规定填写）。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9、合同有效期</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10、违约责任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（根据实际情况填写，可以是表格或文字描述）。</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11、知识产权</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12、解决争议的方法</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12.1甲、乙双方协商解决。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12.2若协商解决不成，则通过下列途径之一解决：</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□提交仲裁委员会仲裁，具体如下：（根据实际情况填写）。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□向人民法院提起诉讼，具体如下：（根据实际情况填写）。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13、不可抗力</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14、合同条款</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（根据实际情况填写）。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15、其他约定</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15.1合同文件与本合同具有同等法律效力。</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15.2本合同未尽事宜，双方可另行补充。</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15.3本合同自签订之日起生效。</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15.4本合同一式（填写具体份数）份，经双方授权代表签字并盖章后生效。甲方、乙方各执（填写具体份数）份，送（填写需要备案的监管部门的全称）备案（填写具体份数）份，具有同等效力。</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15.5其他：□无。□（根据实际情况填写需要增加的内容）。</w:t>
      </w:r>
    </w:p>
    <w:p>
      <w:pPr>
        <w:pStyle w:val="7"/>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甲方：              乙方：</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住所：              住所：</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单位负责人：           单位负责人：</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委托代理人：          </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委托代理人：</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联系方法：            联系方法：</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开户银行：            开户银行：</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账号：              账号：</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签订地点：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签订日期：    年   月   日</w:t>
      </w:r>
    </w:p>
    <w:p>
      <w:pPr>
        <w:pStyle w:val="7"/>
        <w:keepNext w:val="0"/>
        <w:keepLines w:val="0"/>
        <w:widowControl/>
        <w:suppressLineNumbers w:val="0"/>
        <w:spacing w:before="75" w:beforeAutospacing="0" w:after="240"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caps w:val="0"/>
          <w:color w:val="393939"/>
          <w:spacing w:val="0"/>
          <w:sz w:val="19"/>
          <w:szCs w:val="19"/>
        </w:rPr>
      </w:pP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 </w:t>
      </w: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第五章  首次响应文件格式</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编制说明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spacing w:val="0"/>
          <w:sz w:val="24"/>
          <w:szCs w:val="24"/>
        </w:rPr>
        <w:t> </w:t>
      </w: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福建省政府采购项目竞争性谈判</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响应文件</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（首次）</w:t>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1260"/>
      </w:pPr>
      <w:r>
        <w:rPr>
          <w:rStyle w:val="10"/>
          <w:rFonts w:hint="eastAsia" w:ascii="宋体" w:hAnsi="宋体" w:eastAsia="宋体" w:cs="宋体"/>
          <w:b/>
          <w:spacing w:val="0"/>
          <w:sz w:val="24"/>
          <w:szCs w:val="24"/>
        </w:rPr>
        <w:t>项目名称：               </w:t>
      </w:r>
    </w:p>
    <w:p>
      <w:pPr>
        <w:pStyle w:val="7"/>
        <w:keepNext w:val="0"/>
        <w:keepLines w:val="0"/>
        <w:widowControl/>
        <w:suppressLineNumbers w:val="0"/>
        <w:spacing w:before="75" w:beforeAutospacing="0" w:after="75" w:afterAutospacing="0"/>
        <w:ind w:left="0" w:right="0" w:firstLine="1260"/>
      </w:pPr>
      <w:r>
        <w:rPr>
          <w:rStyle w:val="10"/>
          <w:rFonts w:hint="eastAsia" w:ascii="宋体" w:hAnsi="宋体" w:eastAsia="宋体" w:cs="宋体"/>
          <w:b/>
          <w:spacing w:val="0"/>
          <w:sz w:val="24"/>
          <w:szCs w:val="24"/>
        </w:rPr>
        <w:t>项目编号：               </w:t>
      </w:r>
    </w:p>
    <w:p>
      <w:pPr>
        <w:pStyle w:val="7"/>
        <w:keepNext w:val="0"/>
        <w:keepLines w:val="0"/>
        <w:widowControl/>
        <w:suppressLineNumbers w:val="0"/>
        <w:spacing w:before="75" w:beforeAutospacing="0" w:after="75" w:afterAutospacing="0"/>
        <w:ind w:left="0" w:right="0" w:firstLine="1260"/>
      </w:pPr>
      <w:r>
        <w:rPr>
          <w:rStyle w:val="10"/>
          <w:rFonts w:hint="eastAsia" w:ascii="宋体" w:hAnsi="宋体" w:eastAsia="宋体" w:cs="宋体"/>
          <w:b/>
          <w:spacing w:val="0"/>
          <w:sz w:val="24"/>
          <w:szCs w:val="24"/>
        </w:rPr>
        <w:t>合同包: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供应商名称 ：               </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日    期 ：               </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textWrapping"/>
      </w: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目  录</w:t>
      </w:r>
    </w:p>
    <w:p>
      <w:pPr>
        <w:pStyle w:val="7"/>
        <w:keepNext w:val="0"/>
        <w:keepLines w:val="0"/>
        <w:widowControl/>
        <w:suppressLineNumbers w:val="0"/>
        <w:spacing w:before="75" w:beforeAutospacing="0" w:after="75" w:afterAutospacing="0" w:line="46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附件1：谈判响应声明</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附件4：谈判保证金凭证</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附件5：技术、服务和商务响应表</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附件7：供应商提交符合政府采购政策的证明材料</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7"/>
        <w:keepNext w:val="0"/>
        <w:keepLines w:val="0"/>
        <w:widowControl/>
        <w:suppressLineNumbers w:val="0"/>
        <w:spacing w:before="75" w:beforeAutospacing="0" w:after="75" w:afterAutospacing="0" w:line="46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textWrapping"/>
      </w: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附件1            </w:t>
      </w:r>
      <w:r>
        <w:rPr>
          <w:rStyle w:val="10"/>
          <w:rFonts w:hint="eastAsia" w:ascii="宋体" w:hAnsi="宋体" w:eastAsia="宋体" w:cs="宋体"/>
          <w:b/>
          <w:spacing w:val="0"/>
          <w:sz w:val="24"/>
          <w:szCs w:val="24"/>
        </w:rPr>
        <w:t>谈判响应声明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0"/>
        <w:jc w:val="left"/>
      </w:pPr>
      <w:r>
        <w:rPr>
          <w:rFonts w:hint="eastAsia" w:ascii="宋体" w:hAnsi="宋体" w:eastAsia="宋体" w:cs="宋体"/>
          <w:spacing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（5）技术、服务和商务响应表</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（8）按照谈判文件规定，要求作为响应文件组成部分的其他内容（若有）</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2.4我方已经按照谈判文件要求提交谈判保证金。我方如果发生任何竞争性谈判文件中所述不予退还谈判保证金的情况，则我方的谈判保证金将被贵方不予退还，我方对此无异议。</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2.5我方愿意向贵方提供任何与本项目谈判采购有关的数据或资料。若贵方需要，我方愿意提供我方作出的一切承诺的证明材料。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通信地址：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邮编：               传真号：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联系电话（固定电话和移动电话）：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供应商代表：     （签字） </w:t>
      </w:r>
    </w:p>
    <w:p>
      <w:pPr>
        <w:pStyle w:val="7"/>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         （全称并加盖公章）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textWrapping"/>
      </w:r>
    </w:p>
    <w:p>
      <w:pPr>
        <w:rPr>
          <w:rStyle w:val="10"/>
          <w:rFonts w:hint="eastAsia" w:ascii="宋体" w:hAnsi="宋体" w:eastAsia="宋体" w:cs="宋体"/>
          <w:b/>
          <w:spacing w:val="0"/>
          <w:sz w:val="24"/>
          <w:szCs w:val="24"/>
        </w:rPr>
      </w:pPr>
      <w:r>
        <w:rPr>
          <w:rStyle w:val="10"/>
          <w:rFonts w:hint="eastAsia" w:ascii="宋体" w:hAnsi="宋体" w:eastAsia="宋体" w:cs="宋体"/>
          <w:b/>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10"/>
          <w:rFonts w:hint="eastAsia" w:ascii="宋体" w:hAnsi="宋体" w:eastAsia="宋体" w:cs="宋体"/>
          <w:b/>
          <w:spacing w:val="0"/>
          <w:sz w:val="36"/>
          <w:szCs w:val="36"/>
        </w:rPr>
        <w:t>报价一览表</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供应商名称：（全称加盖单位公章）项目编号∶          货币单位：元人民币</w:t>
      </w:r>
    </w:p>
    <w:tbl>
      <w:tblPr>
        <w:tblStyle w:val="8"/>
        <w:tblW w:w="877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36"/>
        <w:gridCol w:w="2095"/>
        <w:gridCol w:w="3462"/>
        <w:gridCol w:w="1006"/>
        <w:gridCol w:w="117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2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34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100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谈判保证金</w:t>
            </w:r>
          </w:p>
        </w:tc>
        <w:tc>
          <w:tcPr>
            <w:tcW w:w="117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2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trPr>
        <w:tc>
          <w:tcPr>
            <w:tcW w:w="1036"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2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34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         供应商代表：             （签字）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附件2-1       </w:t>
      </w:r>
      <w:r>
        <w:rPr>
          <w:rFonts w:hint="eastAsia" w:ascii="宋体" w:hAnsi="宋体" w:eastAsia="宋体" w:cs="宋体"/>
          <w:spacing w:val="0"/>
          <w:sz w:val="36"/>
          <w:szCs w:val="36"/>
        </w:rPr>
        <w:t> </w:t>
      </w:r>
      <w:r>
        <w:rPr>
          <w:rStyle w:val="10"/>
          <w:rFonts w:hint="eastAsia" w:ascii="宋体" w:hAnsi="宋体" w:eastAsia="宋体" w:cs="宋体"/>
          <w:b/>
          <w:spacing w:val="0"/>
          <w:sz w:val="36"/>
          <w:szCs w:val="36"/>
        </w:rPr>
        <w:t>详细报价书</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说明：</w:t>
      </w:r>
    </w:p>
    <w:p>
      <w:pPr>
        <w:pStyle w:val="7"/>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7"/>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7"/>
        <w:keepNext w:val="0"/>
        <w:keepLines w:val="0"/>
        <w:widowControl/>
        <w:suppressLineNumbers w:val="0"/>
        <w:spacing w:before="75" w:beforeAutospacing="0" w:after="75" w:afterAutospacing="0" w:line="495" w:lineRule="atLeast"/>
        <w:ind w:left="0" w:right="0" w:firstLine="480"/>
        <w:jc w:val="both"/>
      </w:pPr>
      <w:r>
        <w:rPr>
          <w:rFonts w:hint="eastAsia" w:ascii="宋体" w:hAnsi="宋体" w:eastAsia="宋体" w:cs="宋体"/>
          <w:spacing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         </w:t>
      </w:r>
      <w:r>
        <w:rPr>
          <w:rStyle w:val="10"/>
          <w:rFonts w:hint="eastAsia" w:ascii="宋体" w:hAnsi="宋体" w:eastAsia="宋体" w:cs="宋体"/>
          <w:b/>
          <w:spacing w:val="0"/>
          <w:sz w:val="24"/>
          <w:szCs w:val="24"/>
        </w:rPr>
        <w:t>资格证明文件</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10"/>
          <w:rFonts w:hint="eastAsia" w:ascii="宋体" w:hAnsi="宋体" w:eastAsia="宋体" w:cs="宋体"/>
          <w:b/>
          <w:spacing w:val="0"/>
          <w:sz w:val="24"/>
          <w:szCs w:val="24"/>
        </w:rPr>
        <w:t>参加竞争性谈判的声明函</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2、供应商的基本概况：</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2.1供应商单位名称：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2.2注册地址：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2.3单位负责人姓名：        性别：     年龄：     职务：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附件3-2        </w:t>
      </w:r>
      <w:r>
        <w:rPr>
          <w:rStyle w:val="10"/>
          <w:rFonts w:hint="eastAsia" w:ascii="宋体" w:hAnsi="宋体" w:eastAsia="宋体" w:cs="宋体"/>
          <w:b/>
          <w:spacing w:val="0"/>
          <w:sz w:val="24"/>
          <w:szCs w:val="24"/>
        </w:rPr>
        <w:t>供应商的资格声明</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375" w:lineRule="atLeast"/>
        <w:ind w:left="0" w:right="0" w:firstLine="0"/>
        <w:jc w:val="both"/>
      </w:pPr>
      <w:r>
        <w:rPr>
          <w:rStyle w:val="10"/>
          <w:rFonts w:hint="eastAsia" w:ascii="宋体" w:hAnsi="宋体" w:eastAsia="宋体" w:cs="宋体"/>
          <w:b/>
          <w:spacing w:val="0"/>
          <w:sz w:val="24"/>
          <w:szCs w:val="24"/>
        </w:rPr>
        <w:t>    1、</w:t>
      </w:r>
      <w:r>
        <w:rPr>
          <w:rFonts w:hint="eastAsia" w:ascii="宋体" w:hAnsi="宋体" w:eastAsia="宋体" w:cs="宋体"/>
          <w:spacing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640"/>
        <w:gridCol w:w="28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56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b/>
                <w:spacing w:val="0"/>
                <w:sz w:val="24"/>
                <w:szCs w:val="24"/>
              </w:rPr>
              <w:t>《中华人民共和国政府采购法》第二十二条对供应商的要求</w:t>
            </w:r>
          </w:p>
        </w:tc>
        <w:tc>
          <w:tcPr>
            <w:tcW w:w="28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b/>
                <w:spacing w:val="0"/>
                <w:sz w:val="24"/>
                <w:szCs w:val="24"/>
              </w:rPr>
              <w:t>供应商对是否符合要求做如实声明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（1）具有独立承担民事责任的能力</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（2）具有良好的商业信誉和健全的财务会计制度</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（3）具有履行合同所必需的设备和专业技术能力</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（4）有依法缴纳税收和社会保障资金的良好记录</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（5）参加政府采购活动前三年内，在经营活动中没有重大违法记录</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（6）法律、行政法规规定的其他条件。</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b/>
                <w:spacing w:val="0"/>
                <w:sz w:val="24"/>
                <w:szCs w:val="24"/>
              </w:rPr>
              <w:t>谈判文件对合格供应商的一般规定</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Style w:val="10"/>
                <w:rFonts w:hint="eastAsia" w:ascii="宋体" w:hAnsi="宋体" w:eastAsia="宋体" w:cs="宋体"/>
                <w:b/>
                <w:spacing w:val="0"/>
                <w:sz w:val="24"/>
                <w:szCs w:val="24"/>
              </w:rPr>
              <w:t>供应商对是否违反一般规定做如实声明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2、我方对上述声明的真实性、合法性、准确性、有效性负责，并愿意根据谈判文件和谈判过程中贵方要求提供全部现有资料、数据、文件等予以证实。</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10"/>
          <w:rFonts w:hint="eastAsia" w:ascii="宋体" w:hAnsi="宋体" w:eastAsia="宋体" w:cs="宋体"/>
          <w:b/>
          <w:spacing w:val="0"/>
          <w:sz w:val="24"/>
          <w:szCs w:val="24"/>
        </w:rPr>
        <w:t>单位负责人授权书</w:t>
      </w: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7"/>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         身份证号：            手机：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         身份证号：            手机：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供应商：（全称并加盖单位公章）</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供应商代表签字：</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签署日期：    年   月   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60" w:lineRule="atLeast"/>
        <w:ind w:left="0" w:right="0" w:firstLine="0"/>
        <w:jc w:val="right"/>
      </w:pPr>
    </w:p>
    <w:p>
      <w:pPr>
        <w:pStyle w:val="7"/>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Style w:val="8"/>
        <w:tblW w:w="856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45"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b/>
                <w:spacing w:val="0"/>
                <w:sz w:val="24"/>
                <w:szCs w:val="24"/>
              </w:rPr>
              <w:t> </w:t>
            </w:r>
          </w:p>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b/>
                <w:spacing w:val="0"/>
                <w:sz w:val="24"/>
                <w:szCs w:val="24"/>
              </w:rPr>
              <w:t>要求：真实、有效、清晰</w:t>
            </w:r>
          </w:p>
          <w:p>
            <w:pPr>
              <w:pStyle w:val="7"/>
              <w:keepNext w:val="0"/>
              <w:keepLines w:val="0"/>
              <w:widowControl/>
              <w:suppressLineNumbers w:val="0"/>
              <w:spacing w:before="0" w:beforeAutospacing="0" w:after="0" w:afterAutospacing="0" w:line="405" w:lineRule="atLeast"/>
              <w:ind w:left="0" w:right="0"/>
              <w:jc w:val="center"/>
            </w:pPr>
            <w:r>
              <w:rPr>
                <w:rStyle w:val="10"/>
                <w:rFonts w:hint="eastAsia" w:ascii="宋体" w:hAnsi="宋体" w:eastAsia="宋体" w:cs="宋体"/>
                <w:b/>
                <w:spacing w:val="0"/>
                <w:sz w:val="24"/>
                <w:szCs w:val="24"/>
              </w:rPr>
              <w:t> </w:t>
            </w:r>
          </w:p>
        </w:tc>
      </w:tr>
    </w:tbl>
    <w:p>
      <w:pPr>
        <w:pStyle w:val="7"/>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10"/>
          <w:rFonts w:hint="eastAsia" w:ascii="宋体" w:hAnsi="宋体" w:eastAsia="宋体" w:cs="宋体"/>
          <w:b/>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2、银行、保险、石油石化、电力、电信等行业：以法人身份参加谈判的，“单位负责人”指</w:t>
      </w:r>
      <w:r>
        <w:rPr>
          <w:rStyle w:val="10"/>
          <w:rFonts w:hint="eastAsia" w:ascii="宋体" w:hAnsi="宋体" w:eastAsia="宋体" w:cs="宋体"/>
          <w:b/>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，即与实际提交的“营业执照等证明文件”载明的一致；以非法人身份参加谈判的，“单位负责人”指</w:t>
      </w:r>
      <w:r>
        <w:rPr>
          <w:rStyle w:val="10"/>
          <w:rFonts w:hint="eastAsia" w:ascii="宋体" w:hAnsi="宋体" w:eastAsia="宋体" w:cs="宋体"/>
          <w:b/>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7"/>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4、对于接受联合体形式的谈判且供应商是联合体的，则只需要联合体的牵头方提交本授权书，在纸质响应文件正本中的本授权书应为原件。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10"/>
          <w:rFonts w:hint="eastAsia" w:ascii="宋体" w:hAnsi="宋体" w:eastAsia="宋体" w:cs="宋体"/>
          <w:b/>
          <w:spacing w:val="0"/>
          <w:sz w:val="24"/>
          <w:szCs w:val="24"/>
        </w:rPr>
        <w:t>       营业执照等证明文件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现附上由（填写“签发机关全称”）签发的我方统一社会信用代码（请填写法人的具体证照名称）复印件，该证明材料真实有效，否则我方负全部责任。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□现附上由（填写“签发机关全称”）签发的我方（请填写非自然人的非法人的具体证照名称）复印件，该证明材料真实有效，否则我方负全部责任。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□现附上由（填写“签发机关全称”）签发的我方（请填写自然人的身份证件名称）复印件，该证明材料真实有效，否则我方负全部责任。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附件3-5             </w:t>
      </w:r>
      <w:r>
        <w:rPr>
          <w:rStyle w:val="10"/>
          <w:rFonts w:hint="eastAsia" w:ascii="宋体" w:hAnsi="宋体" w:eastAsia="宋体" w:cs="宋体"/>
          <w:b/>
          <w:spacing w:val="0"/>
          <w:sz w:val="24"/>
          <w:szCs w:val="24"/>
        </w:rPr>
        <w:t>财务状况报告</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□社会团体适用：现附上我方（填写“具体的年度、或半年度、或季度”）财务报告复印件，包括资产负债表、业务活动表、现金流量表，上述证明材料真实有效，否则我方负全部责任。</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□非自然人适用：现附上我方银行：（填写“开户银行全称”）出具的资信证明复印件，上述证明材料真实有效，否则我方负全部责任。</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□自然人适用：现附上我方银行：（填写自然人的“个人账户的开户银行全称”）出具的资信证明复印件，上述证明材料真实有效，否则我方负全部责任。</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现附上由财政部门认可的政府采购专业担保机构：（填写“担保机构全称”）出具的投标担保函复印件，上述证明材料真实有效，否则我方负全部责任。</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2、供应商提供的财务报告复印件（成立年限按照首次响应文件递交截止时间推算）应符合下列规定：</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2.1成立年限满1年及以上的供应商，提供经审计的上一年度的年度财务报告。</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2.2成立年限满半年但不足1年的供应商，提供该半年度中任一季度的季度财务报告或该半年度的半年度财务报告。</w:t>
      </w:r>
    </w:p>
    <w:p>
      <w:pPr>
        <w:pStyle w:val="7"/>
        <w:keepNext w:val="0"/>
        <w:keepLines w:val="0"/>
        <w:widowControl/>
        <w:suppressLineNumbers w:val="0"/>
        <w:spacing w:before="75" w:beforeAutospacing="0" w:after="75" w:afterAutospacing="0"/>
        <w:ind w:left="0" w:right="0" w:firstLine="420"/>
      </w:pPr>
      <w:r>
        <w:rPr>
          <w:rStyle w:val="10"/>
          <w:rFonts w:hint="eastAsia" w:ascii="宋体" w:hAnsi="宋体" w:eastAsia="宋体" w:cs="宋体"/>
          <w:b/>
          <w:spacing w:val="0"/>
          <w:sz w:val="21"/>
          <w:szCs w:val="21"/>
        </w:rPr>
        <w:t>※无法按照本格式注意事项第2.1、2.2条规定提供财务报告复印件的供应商，应按照本格式注意事项的要求选择提供资信证明复印件或投标担保函复印件。</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3、“财政部门认可的政府采购专业担保机构”应符合《财政部关于开展政府采购信用担保试点工作方案》（财库[2011]124号）的规定。</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4、供应商提供的相应证明材料复印件均应符合：内容完整、清晰、整洁，并由供应商加盖其单位公章。</w:t>
      </w:r>
    </w:p>
    <w:p>
      <w:pPr>
        <w:pStyle w:val="7"/>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jc w:val="both"/>
      </w:pPr>
      <w:r>
        <w:rPr>
          <w:rStyle w:val="10"/>
          <w:rFonts w:hint="eastAsia" w:ascii="宋体" w:hAnsi="宋体" w:eastAsia="宋体" w:cs="宋体"/>
          <w:b/>
          <w:spacing w:val="0"/>
          <w:sz w:val="21"/>
          <w:szCs w:val="21"/>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附件3-6          </w:t>
      </w:r>
      <w:r>
        <w:rPr>
          <w:rStyle w:val="10"/>
          <w:rFonts w:hint="eastAsia" w:ascii="宋体" w:hAnsi="宋体" w:eastAsia="宋体" w:cs="宋体"/>
          <w:b/>
          <w:spacing w:val="0"/>
          <w:sz w:val="24"/>
          <w:szCs w:val="24"/>
        </w:rPr>
        <w:t>依法缴纳税收证明材料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1"/>
          <w:szCs w:val="21"/>
        </w:rPr>
        <w:t>   </w:t>
      </w:r>
    </w:p>
    <w:p>
      <w:pPr>
        <w:pStyle w:val="7"/>
        <w:keepNext w:val="0"/>
        <w:keepLines w:val="0"/>
        <w:widowControl/>
        <w:suppressLineNumbers w:val="0"/>
        <w:spacing w:before="75" w:beforeAutospacing="0" w:after="75" w:afterAutospacing="0"/>
        <w:ind w:left="0" w:right="0" w:firstLine="420"/>
      </w:pPr>
      <w:r>
        <w:rPr>
          <w:rStyle w:val="10"/>
          <w:rFonts w:hint="eastAsia" w:ascii="宋体" w:hAnsi="宋体" w:eastAsia="宋体" w:cs="宋体"/>
          <w:b/>
          <w:spacing w:val="0"/>
          <w:sz w:val="24"/>
          <w:szCs w:val="24"/>
        </w:rPr>
        <w:t>1、依法缴纳税收的供应商</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日期间我方缴纳的（按照供应商实际缴纳的税种名称填写，如：增值税、所得税等）税收凭据复印件，上述证明材料真实有效，否则我方负全部责任。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日期间我方缴纳的（按照供应商实际缴纳的税种名称填写）税收凭据复印件，上述证明材料真实有效，否则我方负全部责任。</w:t>
      </w:r>
    </w:p>
    <w:p>
      <w:pPr>
        <w:pStyle w:val="7"/>
        <w:keepNext w:val="0"/>
        <w:keepLines w:val="0"/>
        <w:widowControl/>
        <w:suppressLineNumbers w:val="0"/>
        <w:spacing w:before="75" w:beforeAutospacing="0" w:after="75" w:afterAutospacing="0"/>
        <w:ind w:left="0" w:right="0" w:firstLine="420"/>
      </w:pPr>
      <w:r>
        <w:rPr>
          <w:rStyle w:val="10"/>
          <w:rFonts w:hint="eastAsia" w:ascii="宋体" w:hAnsi="宋体" w:eastAsia="宋体" w:cs="宋体"/>
          <w:b/>
          <w:spacing w:val="0"/>
          <w:sz w:val="24"/>
          <w:szCs w:val="24"/>
        </w:rPr>
        <w:t>2、依法免税的供应商</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2、供应商提供的税收凭据复印件应符合下列规定：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2.2首次响应文件递交截止时间的当月成立且已依法缴纳税收的供应商，提供截止时间当月的税收凭据复印件。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2.3首次响应文件递交截止时间的当月成立但因税务机关原因而尚未依法缴纳税收的供应商，提供依法缴纳税收承诺书原件（格式自拟），该承诺书视同税收凭据。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4、</w:t>
      </w:r>
      <w:r>
        <w:rPr>
          <w:rStyle w:val="10"/>
          <w:rFonts w:hint="eastAsia" w:ascii="宋体" w:hAnsi="宋体" w:eastAsia="宋体" w:cs="宋体"/>
          <w:b/>
          <w:spacing w:val="0"/>
          <w:sz w:val="21"/>
          <w:szCs w:val="21"/>
        </w:rPr>
        <w:t>“依法缴纳税收证明材料”</w:t>
      </w:r>
      <w:r>
        <w:rPr>
          <w:rFonts w:hint="eastAsia" w:ascii="宋体" w:hAnsi="宋体" w:eastAsia="宋体" w:cs="宋体"/>
          <w:spacing w:val="0"/>
          <w:sz w:val="21"/>
          <w:szCs w:val="21"/>
        </w:rPr>
        <w:t>有欠缴记录的，视为</w:t>
      </w:r>
      <w:r>
        <w:rPr>
          <w:rStyle w:val="10"/>
          <w:rFonts w:hint="eastAsia" w:ascii="宋体" w:hAnsi="宋体" w:eastAsia="宋体" w:cs="宋体"/>
          <w:b/>
          <w:spacing w:val="0"/>
          <w:sz w:val="21"/>
          <w:szCs w:val="21"/>
        </w:rPr>
        <w:t>未依法缴纳税收</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10"/>
          <w:rFonts w:hint="eastAsia" w:ascii="宋体" w:hAnsi="宋体" w:eastAsia="宋体" w:cs="宋体"/>
          <w:b/>
          <w:spacing w:val="0"/>
          <w:sz w:val="24"/>
          <w:szCs w:val="24"/>
        </w:rPr>
        <w:t>依法缴纳社会保障资金证明材料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spacing w:val="0"/>
          <w:sz w:val="24"/>
          <w:szCs w:val="24"/>
        </w:rPr>
        <w:t>1、依法缴纳社会保障资金的供应商</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spacing w:val="0"/>
          <w:sz w:val="24"/>
          <w:szCs w:val="24"/>
        </w:rPr>
        <w:t>2、依法不需要缴纳社会保障资金的供应商</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2、供应商提供的社会保险凭据复印件应符合下列规定：</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2.2首次响应文件递交截止时间的当月成立且已依法缴纳社会保障资金的供应商，提供首次响应文件递交截止时间当月的社会保险凭据复印件。</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4、</w:t>
      </w:r>
      <w:r>
        <w:rPr>
          <w:rStyle w:val="10"/>
          <w:rFonts w:hint="eastAsia" w:ascii="宋体" w:hAnsi="宋体" w:eastAsia="宋体" w:cs="宋体"/>
          <w:b/>
          <w:spacing w:val="0"/>
          <w:sz w:val="21"/>
          <w:szCs w:val="21"/>
        </w:rPr>
        <w:t>“依法缴纳社会保障资金证明材料”</w:t>
      </w:r>
      <w:r>
        <w:rPr>
          <w:rFonts w:hint="eastAsia" w:ascii="宋体" w:hAnsi="宋体" w:eastAsia="宋体" w:cs="宋体"/>
          <w:spacing w:val="0"/>
          <w:sz w:val="21"/>
          <w:szCs w:val="21"/>
        </w:rPr>
        <w:t>有欠缴记录的，视为</w:t>
      </w:r>
      <w:r>
        <w:rPr>
          <w:rStyle w:val="10"/>
          <w:rFonts w:hint="eastAsia" w:ascii="宋体" w:hAnsi="宋体" w:eastAsia="宋体" w:cs="宋体"/>
          <w:b/>
          <w:spacing w:val="0"/>
          <w:sz w:val="21"/>
          <w:szCs w:val="21"/>
        </w:rPr>
        <w:t>未依法缴纳社会保障资金</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附件3-8   </w:t>
      </w:r>
      <w:r>
        <w:rPr>
          <w:rStyle w:val="10"/>
          <w:rFonts w:hint="eastAsia" w:ascii="宋体" w:hAnsi="宋体" w:eastAsia="宋体" w:cs="宋体"/>
          <w:b/>
          <w:spacing w:val="0"/>
          <w:sz w:val="24"/>
          <w:szCs w:val="24"/>
        </w:rPr>
        <w:t>具备履行合同所必需设备和专业技术能力证明材料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声明函</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w:t>
      </w:r>
      <w:r>
        <w:rPr>
          <w:rStyle w:val="10"/>
          <w:rFonts w:hint="eastAsia" w:ascii="宋体" w:hAnsi="宋体" w:eastAsia="宋体" w:cs="宋体"/>
          <w:b/>
          <w:spacing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b/>
          <w:spacing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r>
        <w:rPr>
          <w:rStyle w:val="10"/>
          <w:rFonts w:hint="eastAsia" w:ascii="宋体" w:hAnsi="宋体" w:eastAsia="宋体" w:cs="宋体"/>
          <w:b/>
          <w:spacing w:val="0"/>
          <w:sz w:val="24"/>
          <w:szCs w:val="24"/>
        </w:rPr>
        <w:t>3.对于接受联合体形式的谈判且供应商是联合体的，则联合体各成员都应当提交本资格证明文件。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附件3-9    </w:t>
      </w:r>
      <w:r>
        <w:rPr>
          <w:rStyle w:val="10"/>
          <w:rFonts w:hint="eastAsia" w:ascii="宋体" w:hAnsi="宋体" w:eastAsia="宋体" w:cs="宋体"/>
          <w:b/>
          <w:spacing w:val="0"/>
          <w:sz w:val="24"/>
          <w:szCs w:val="24"/>
        </w:rPr>
        <w:t>参加采购活动前三年内在经营活动中</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1935"/>
      </w:pPr>
      <w:r>
        <w:rPr>
          <w:rStyle w:val="10"/>
          <w:rFonts w:hint="eastAsia" w:ascii="宋体" w:hAnsi="宋体" w:eastAsia="宋体" w:cs="宋体"/>
          <w:b/>
          <w:spacing w:val="0"/>
          <w:sz w:val="24"/>
          <w:szCs w:val="24"/>
        </w:rPr>
        <w:t>没有重大违法记录书面声明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3、对于接受联合体形式的谈判且供应商是联合体的，则联合体各成员都应当提交本资格证明文件。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附件3-10       </w:t>
      </w:r>
      <w:r>
        <w:rPr>
          <w:rStyle w:val="10"/>
          <w:rFonts w:hint="eastAsia" w:ascii="宋体" w:hAnsi="宋体" w:eastAsia="宋体" w:cs="宋体"/>
          <w:b/>
          <w:spacing w:val="0"/>
          <w:sz w:val="24"/>
          <w:szCs w:val="24"/>
        </w:rPr>
        <w:t>信用记录查询结果</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1、供应商应</w:t>
      </w:r>
      <w:r>
        <w:rPr>
          <w:rStyle w:val="10"/>
          <w:rFonts w:hint="eastAsia" w:ascii="宋体" w:hAnsi="宋体" w:eastAsia="宋体" w:cs="宋体"/>
          <w:b/>
          <w:spacing w:val="0"/>
          <w:sz w:val="21"/>
          <w:szCs w:val="21"/>
        </w:rPr>
        <w:t>同时提供</w:t>
      </w:r>
      <w:r>
        <w:rPr>
          <w:rFonts w:hint="eastAsia" w:ascii="宋体" w:hAnsi="宋体" w:eastAsia="宋体" w:cs="宋体"/>
          <w:spacing w:val="0"/>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10"/>
          <w:rFonts w:hint="eastAsia" w:ascii="宋体" w:hAnsi="宋体" w:eastAsia="宋体" w:cs="宋体"/>
          <w:b/>
          <w:spacing w:val="0"/>
          <w:sz w:val="21"/>
          <w:szCs w:val="21"/>
        </w:rPr>
        <w:t>否则其响应文件将被否决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2、若本项目接受联合体响应谈判且供应商为联合体，则联合体各成员均应</w:t>
      </w:r>
      <w:r>
        <w:rPr>
          <w:rStyle w:val="10"/>
          <w:rFonts w:hint="eastAsia" w:ascii="宋体" w:hAnsi="宋体" w:eastAsia="宋体" w:cs="宋体"/>
          <w:b/>
          <w:spacing w:val="0"/>
          <w:sz w:val="21"/>
          <w:szCs w:val="21"/>
        </w:rPr>
        <w:t>同时提供</w:t>
      </w:r>
      <w:r>
        <w:rPr>
          <w:rFonts w:hint="eastAsia" w:ascii="宋体" w:hAnsi="宋体" w:eastAsia="宋体" w:cs="宋体"/>
          <w:spacing w:val="0"/>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10"/>
          <w:rFonts w:hint="eastAsia" w:ascii="宋体" w:hAnsi="宋体" w:eastAsia="宋体" w:cs="宋体"/>
          <w:b/>
          <w:spacing w:val="0"/>
          <w:sz w:val="21"/>
          <w:szCs w:val="21"/>
        </w:rPr>
        <w:t>否则其响应文件将被否决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3、联合体成员存在不良信用记录的，视同联合体存在不良信用记录，</w:t>
      </w:r>
      <w:r>
        <w:rPr>
          <w:rStyle w:val="10"/>
          <w:rFonts w:hint="eastAsia" w:ascii="宋体" w:hAnsi="宋体" w:eastAsia="宋体" w:cs="宋体"/>
          <w:b/>
          <w:spacing w:val="0"/>
          <w:sz w:val="21"/>
          <w:szCs w:val="21"/>
        </w:rPr>
        <w:t>其响应文件将被否决</w:t>
      </w:r>
      <w:r>
        <w:rPr>
          <w:rFonts w:hint="eastAsia" w:ascii="宋体" w:hAnsi="宋体" w:eastAsia="宋体" w:cs="宋体"/>
          <w:spacing w:val="0"/>
          <w:sz w:val="21"/>
          <w:szCs w:val="21"/>
        </w:rPr>
        <w:t>。</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Style w:val="10"/>
          <w:rFonts w:hint="eastAsia" w:ascii="宋体" w:hAnsi="宋体" w:eastAsia="宋体" w:cs="宋体"/>
          <w:b/>
          <w:spacing w:val="0"/>
          <w:sz w:val="24"/>
          <w:szCs w:val="24"/>
        </w:rPr>
        <w:br w:type="textWrapping"/>
      </w:r>
      <w:r>
        <w:rPr>
          <w:rFonts w:hint="eastAsia" w:ascii="宋体" w:hAnsi="宋体" w:eastAsia="宋体" w:cs="宋体"/>
          <w:spacing w:val="0"/>
          <w:sz w:val="24"/>
          <w:szCs w:val="24"/>
        </w:rPr>
        <w:t>附件3-11   </w:t>
      </w:r>
      <w:r>
        <w:rPr>
          <w:rStyle w:val="10"/>
          <w:rFonts w:hint="eastAsia" w:ascii="宋体" w:hAnsi="宋体" w:eastAsia="宋体" w:cs="宋体"/>
          <w:b/>
          <w:spacing w:val="0"/>
          <w:sz w:val="24"/>
          <w:szCs w:val="24"/>
        </w:rPr>
        <w:t>检察机关行贿犯罪档案查询结果告知函（如果需要）</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1.检察机关行贿犯罪档案查询结果告知函（以下简称：“告知函”）由供应商向住所地或业务发生地检察院申请查询，具体以检察院出具的为准。</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★谈判文件有要求提交“告知函”时注意：</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1、供应商未提供行贿犯罪档案查询结果或查询结果有行贿犯罪记录的，</w:t>
      </w:r>
      <w:r>
        <w:rPr>
          <w:rStyle w:val="10"/>
          <w:rFonts w:hint="eastAsia" w:ascii="宋体" w:hAnsi="宋体" w:eastAsia="宋体" w:cs="宋体"/>
          <w:b/>
          <w:spacing w:val="0"/>
          <w:sz w:val="24"/>
          <w:szCs w:val="24"/>
        </w:rPr>
        <w:t>则供应商的响应文件将被否决</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10"/>
          <w:rFonts w:hint="eastAsia" w:ascii="宋体" w:hAnsi="宋体" w:eastAsia="宋体" w:cs="宋体"/>
          <w:b/>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10"/>
          <w:rFonts w:hint="eastAsia" w:ascii="宋体" w:hAnsi="宋体" w:eastAsia="宋体" w:cs="宋体"/>
          <w:b/>
          <w:spacing w:val="0"/>
          <w:sz w:val="24"/>
          <w:szCs w:val="24"/>
        </w:rPr>
        <w:t>否则其响应文件将被否决</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4、若告知函未注明“复印件无效”，供应商可提供原件或复印件。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5、对于接受联合体形式的谈判且供应商是联合体的，则联合体各成员都应当提交本资格证明文件</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7"/>
        <w:keepNext w:val="0"/>
        <w:keepLines w:val="0"/>
        <w:widowControl/>
        <w:suppressLineNumbers w:val="0"/>
        <w:spacing w:before="75" w:beforeAutospacing="0" w:after="75" w:afterAutospacing="0" w:line="435" w:lineRule="atLeast"/>
        <w:ind w:left="0" w:right="0" w:firstLine="0"/>
      </w:pP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附件3-12       </w:t>
      </w:r>
      <w:r>
        <w:rPr>
          <w:rStyle w:val="10"/>
          <w:rFonts w:hint="eastAsia" w:ascii="宋体" w:hAnsi="宋体" w:eastAsia="宋体" w:cs="宋体"/>
          <w:b/>
          <w:spacing w:val="0"/>
          <w:sz w:val="24"/>
          <w:szCs w:val="24"/>
        </w:rPr>
        <w:t>  联合体协议</w:t>
      </w:r>
    </w:p>
    <w:p>
      <w:pPr>
        <w:pStyle w:val="7"/>
        <w:keepNext w:val="0"/>
        <w:keepLines w:val="0"/>
        <w:widowControl/>
        <w:suppressLineNumbers w:val="0"/>
        <w:spacing w:before="75" w:beforeAutospacing="0" w:after="75" w:afterAutospacing="0" w:line="435" w:lineRule="atLeast"/>
        <w:ind w:left="0" w:right="0" w:firstLine="0"/>
        <w:jc w:val="center"/>
      </w:pPr>
      <w:r>
        <w:rPr>
          <w:rStyle w:val="10"/>
          <w:rFonts w:hint="eastAsia" w:ascii="宋体" w:hAnsi="宋体" w:eastAsia="宋体" w:cs="宋体"/>
          <w:b/>
          <w:spacing w:val="0"/>
          <w:sz w:val="24"/>
          <w:szCs w:val="24"/>
        </w:rPr>
        <w:t>（接受联合体的项目使用）</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pStyle w:val="7"/>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一、联合体各方应承担的工作和义务具体如下：</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1、联合体牵头方单位名称：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（填写“工作及义务的具体内容”） ；</w:t>
      </w:r>
    </w:p>
    <w:p>
      <w:pPr>
        <w:pStyle w:val="7"/>
        <w:keepNext w:val="0"/>
        <w:keepLines w:val="0"/>
        <w:widowControl/>
        <w:suppressLineNumbers w:val="0"/>
        <w:spacing w:before="75" w:beforeAutospacing="0" w:after="75" w:afterAutospacing="0" w:line="435" w:lineRule="atLeast"/>
        <w:ind w:left="0" w:right="0" w:firstLine="0"/>
        <w:jc w:val="right"/>
      </w:pPr>
      <w:r>
        <w:rPr>
          <w:rFonts w:hint="eastAsia" w:ascii="宋体" w:hAnsi="宋体" w:eastAsia="宋体" w:cs="宋体"/>
          <w:spacing w:val="0"/>
          <w:sz w:val="24"/>
          <w:szCs w:val="24"/>
        </w:rPr>
        <w:t>2、联合体成员方单位名称：                                    </w:t>
      </w:r>
    </w:p>
    <w:p>
      <w:pPr>
        <w:pStyle w:val="7"/>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2.1（成员一的全称）： （填写“工作及义务的具体内容”） ；</w:t>
      </w:r>
    </w:p>
    <w:p>
      <w:pPr>
        <w:pStyle w:val="7"/>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三、联合体各方约定由（填写填写“牵头方的全称”）代表联合体办理谈判保证金事宜。</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牵头方：（全称并加盖单位公章）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成员一：（全称并加盖成员一的单位公章）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成员**：（全称并加盖成员**的单位公章）</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1、若谈判文件规定接受联合体形式且供应商为联合体的，则供应商应提供本协议；否则无须提供。</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2、本协议中的供应商代表如果不是竞争性谈判须知中定义的“单位负责人”，则还必须提供“单位负责人授权书”。</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3、若谈判文件规定接受联合体形式且供应商为联合体的，纸质响应文件正本中的本协议应为原件。</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附件3-13          </w:t>
      </w:r>
      <w:r>
        <w:rPr>
          <w:rStyle w:val="10"/>
          <w:rFonts w:hint="eastAsia" w:ascii="宋体" w:hAnsi="宋体" w:eastAsia="宋体" w:cs="宋体"/>
          <w:b/>
          <w:spacing w:val="0"/>
          <w:sz w:val="24"/>
          <w:szCs w:val="24"/>
        </w:rPr>
        <w:t>其它资格证明文件</w:t>
      </w:r>
    </w:p>
    <w:p>
      <w:pPr>
        <w:pStyle w:val="7"/>
        <w:keepNext w:val="0"/>
        <w:keepLines w:val="0"/>
        <w:widowControl/>
        <w:suppressLineNumbers w:val="0"/>
        <w:spacing w:before="75" w:beforeAutospacing="0" w:after="75" w:afterAutospacing="0" w:line="420" w:lineRule="atLeast"/>
        <w:ind w:left="0" w:right="0" w:firstLine="0"/>
        <w:jc w:val="center"/>
      </w:pPr>
      <w:r>
        <w:rPr>
          <w:rStyle w:val="10"/>
          <w:rFonts w:hint="eastAsia" w:ascii="宋体" w:hAnsi="宋体" w:eastAsia="宋体" w:cs="宋体"/>
          <w:b/>
          <w:spacing w:val="0"/>
          <w:sz w:val="24"/>
          <w:szCs w:val="24"/>
        </w:rPr>
        <w:t>（如果有的话）</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2、若谈判文件规定接受联合体形式且供应商为联合体的，涉及联合体成员的其它资格证明文件在此处提供相关证明材料，并加盖供应商单位公章。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48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附件4        </w:t>
      </w:r>
      <w:r>
        <w:rPr>
          <w:rStyle w:val="10"/>
          <w:rFonts w:hint="eastAsia" w:ascii="宋体" w:hAnsi="宋体" w:eastAsia="宋体" w:cs="宋体"/>
          <w:b/>
          <w:spacing w:val="0"/>
          <w:sz w:val="24"/>
          <w:szCs w:val="24"/>
        </w:rPr>
        <w:t>谈判保证金凭证</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3360"/>
        <w:jc w:val="both"/>
      </w:pPr>
      <w:r>
        <w:rPr>
          <w:rFonts w:hint="eastAsia" w:ascii="宋体" w:hAnsi="宋体" w:eastAsia="宋体" w:cs="宋体"/>
          <w:spacing w:val="0"/>
          <w:sz w:val="21"/>
          <w:szCs w:val="21"/>
        </w:rPr>
        <w:t>编制说明</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1、在此项下提交的</w:t>
      </w:r>
      <w:r>
        <w:rPr>
          <w:rStyle w:val="10"/>
          <w:rFonts w:hint="eastAsia" w:ascii="宋体" w:hAnsi="宋体" w:eastAsia="宋体" w:cs="宋体"/>
          <w:b/>
          <w:spacing w:val="0"/>
          <w:sz w:val="21"/>
          <w:szCs w:val="21"/>
        </w:rPr>
        <w:t>“谈判保证金”</w:t>
      </w:r>
      <w:r>
        <w:rPr>
          <w:rFonts w:hint="eastAsia" w:ascii="宋体" w:hAnsi="宋体" w:eastAsia="宋体" w:cs="宋体"/>
          <w:spacing w:val="0"/>
          <w:sz w:val="21"/>
          <w:szCs w:val="21"/>
        </w:rPr>
        <w:t>材料可使用转账凭证复印件或从福建省政府采购网上公开信息系统中下载的有关原始页面的打印件。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2、谈判保证金是否已提交按照谈判文件规定执行。</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附件5-1  </w:t>
      </w:r>
      <w:r>
        <w:rPr>
          <w:rStyle w:val="10"/>
          <w:rFonts w:hint="eastAsia" w:ascii="宋体" w:hAnsi="宋体" w:eastAsia="宋体" w:cs="宋体"/>
          <w:b/>
          <w:spacing w:val="0"/>
          <w:sz w:val="24"/>
          <w:szCs w:val="24"/>
        </w:rPr>
        <w:t>    技术和服务要求响应表</w:t>
      </w: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8"/>
        <w:tblW w:w="772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0"/>
        <w:gridCol w:w="1410"/>
        <w:gridCol w:w="2370"/>
        <w:gridCol w:w="2055"/>
        <w:gridCol w:w="120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94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竞争性谈判文件规定的技术和服务要求</w:t>
            </w:r>
          </w:p>
        </w:tc>
        <w:tc>
          <w:tcPr>
            <w:tcW w:w="20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2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b/>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b/>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附件5-2      </w:t>
      </w:r>
      <w:r>
        <w:rPr>
          <w:rStyle w:val="10"/>
          <w:rFonts w:hint="eastAsia" w:ascii="宋体" w:hAnsi="宋体" w:eastAsia="宋体" w:cs="宋体"/>
          <w:b/>
          <w:spacing w:val="0"/>
          <w:sz w:val="24"/>
          <w:szCs w:val="24"/>
        </w:rPr>
        <w:t> 商务条件和其它事项响应表 </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8"/>
        <w:tblW w:w="768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90"/>
        <w:gridCol w:w="1410"/>
        <w:gridCol w:w="2370"/>
        <w:gridCol w:w="2070"/>
        <w:gridCol w:w="11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4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竞争性谈判文件规定的商务条件要求</w:t>
            </w:r>
          </w:p>
        </w:tc>
        <w:tc>
          <w:tcPr>
            <w:tcW w:w="20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b/>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7"/>
        <w:keepNext w:val="0"/>
        <w:keepLines w:val="0"/>
        <w:widowControl/>
        <w:suppressLineNumbers w:val="0"/>
        <w:spacing w:before="75" w:beforeAutospacing="0" w:after="75" w:afterAutospacing="0" w:line="375" w:lineRule="atLeast"/>
        <w:ind w:left="0" w:right="0" w:firstLine="0"/>
      </w:pPr>
      <w:r>
        <w:rPr>
          <w:rStyle w:val="10"/>
          <w:rFonts w:hint="eastAsia" w:ascii="宋体" w:hAnsi="宋体" w:eastAsia="宋体" w:cs="宋体"/>
          <w:b/>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7"/>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7"/>
        <w:keepNext w:val="0"/>
        <w:keepLines w:val="0"/>
        <w:widowControl/>
        <w:suppressLineNumbers w:val="0"/>
        <w:spacing w:before="75" w:beforeAutospacing="0" w:after="75" w:afterAutospacing="0" w:line="420"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附件6    </w:t>
      </w:r>
      <w:r>
        <w:rPr>
          <w:rStyle w:val="10"/>
          <w:rFonts w:hint="eastAsia" w:ascii="宋体" w:hAnsi="宋体" w:eastAsia="宋体" w:cs="宋体"/>
          <w:b/>
          <w:spacing w:val="0"/>
          <w:sz w:val="24"/>
          <w:szCs w:val="24"/>
        </w:rPr>
        <w:t>  相关技术、商务、服务响应承诺及资料</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说明：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2.如果没有特别要求的，供应商根据谈判文件的要求以及特点，提供相关技术、商务、服务响应承诺及资料，格式自拟。</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95" w:lineRule="atLeast"/>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7"/>
        <w:keepNext w:val="0"/>
        <w:keepLines w:val="0"/>
        <w:widowControl/>
        <w:suppressLineNumbers w:val="0"/>
        <w:spacing w:before="75" w:beforeAutospacing="0" w:after="75" w:afterAutospacing="0" w:line="46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     </w:t>
      </w:r>
      <w:r>
        <w:rPr>
          <w:rStyle w:val="10"/>
          <w:rFonts w:hint="eastAsia" w:ascii="宋体" w:hAnsi="宋体" w:eastAsia="宋体" w:cs="宋体"/>
          <w:b/>
          <w:spacing w:val="0"/>
          <w:sz w:val="24"/>
          <w:szCs w:val="24"/>
        </w:rPr>
        <w:t>供应商提交符合政府采购政策的证明材料</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附件7-1-1        </w:t>
      </w:r>
      <w:r>
        <w:rPr>
          <w:rStyle w:val="10"/>
          <w:rFonts w:hint="eastAsia" w:ascii="宋体" w:hAnsi="宋体" w:eastAsia="宋体" w:cs="宋体"/>
          <w:b/>
          <w:spacing w:val="0"/>
          <w:sz w:val="24"/>
          <w:szCs w:val="24"/>
        </w:rPr>
        <w:t>中小企业声明函（如果有的话）</w:t>
      </w:r>
    </w:p>
    <w:p>
      <w:pPr>
        <w:pStyle w:val="7"/>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2880"/>
      </w:pP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1"/>
          <w:szCs w:val="21"/>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7"/>
        <w:keepNext w:val="0"/>
        <w:keepLines w:val="0"/>
        <w:widowControl/>
        <w:suppressLineNumbers w:val="0"/>
        <w:spacing w:before="75" w:beforeAutospacing="0" w:after="75" w:afterAutospacing="0" w:line="315" w:lineRule="atLeast"/>
        <w:ind w:left="0" w:right="0" w:firstLine="480"/>
        <w:jc w:val="both"/>
      </w:pP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spacing w:val="0"/>
          <w:sz w:val="24"/>
          <w:szCs w:val="24"/>
        </w:rPr>
        <w:t>残疾人福利性单位声明函（如果有的话）</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0"/>
        <w:jc w:val="both"/>
      </w:pPr>
      <w:r>
        <w:rPr>
          <w:rStyle w:val="10"/>
          <w:rFonts w:hint="eastAsia" w:ascii="宋体" w:hAnsi="宋体" w:eastAsia="宋体" w:cs="宋体"/>
          <w:b/>
          <w:spacing w:val="0"/>
          <w:sz w:val="24"/>
          <w:szCs w:val="24"/>
        </w:rPr>
        <w:t> </w:t>
      </w:r>
    </w:p>
    <w:p>
      <w:pPr>
        <w:pStyle w:val="7"/>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7"/>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本供应商对上述声明的真实性负责。如有虚假，将依法承担相应责任。</w:t>
      </w:r>
    </w:p>
    <w:p>
      <w:pPr>
        <w:pStyle w:val="7"/>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 </w:t>
      </w:r>
    </w:p>
    <w:p>
      <w:pPr>
        <w:pStyle w:val="7"/>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 </w:t>
      </w:r>
    </w:p>
    <w:p>
      <w:pPr>
        <w:pStyle w:val="7"/>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7"/>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7"/>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日  期： </w:t>
      </w:r>
      <w:r>
        <w:rPr>
          <w:rFonts w:hint="eastAsia" w:ascii="宋体" w:hAnsi="宋体" w:eastAsia="宋体" w:cs="宋体"/>
          <w:sz w:val="24"/>
          <w:szCs w:val="24"/>
          <w:u w:val="single"/>
        </w:rPr>
        <w:t>    </w:t>
      </w:r>
      <w:r>
        <w:rPr>
          <w:rFonts w:hint="eastAsia" w:ascii="宋体" w:hAnsi="宋体" w:eastAsia="宋体" w:cs="宋体"/>
          <w:sz w:val="24"/>
          <w:szCs w:val="24"/>
        </w:rPr>
        <w:t>年 </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（2）请供应商按照实际情况编制填写本声明函，并在相应的（）中打“√”。</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（3）纸质响应文件正本中的本声明函（若有）应为原件。</w:t>
      </w:r>
    </w:p>
    <w:p>
      <w:pPr>
        <w:pStyle w:val="7"/>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（4）若《残疾人福利性单位声明函》内容不真实，视为提供虚假材料。</w:t>
      </w:r>
    </w:p>
    <w:p>
      <w:pPr>
        <w:pStyle w:val="7"/>
        <w:keepNext w:val="0"/>
        <w:keepLines w:val="0"/>
        <w:widowControl/>
        <w:suppressLineNumbers w:val="0"/>
        <w:spacing w:before="75" w:beforeAutospacing="0" w:after="75" w:afterAutospacing="0" w:line="435" w:lineRule="atLeast"/>
        <w:ind w:left="0" w:right="0" w:firstLine="420"/>
        <w:jc w:val="both"/>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p>
    <w:p>
      <w:pPr>
        <w:pStyle w:val="7"/>
        <w:keepNext w:val="0"/>
        <w:keepLines w:val="0"/>
        <w:widowControl/>
        <w:suppressLineNumbers w:val="0"/>
        <w:spacing w:before="75" w:beforeAutospacing="0" w:after="75" w:afterAutospacing="0"/>
        <w:ind w:left="0" w:right="0" w:firstLine="0"/>
        <w:jc w:val="center"/>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附件7-2</w:t>
      </w:r>
      <w:r>
        <w:rPr>
          <w:rStyle w:val="10"/>
          <w:rFonts w:hint="eastAsia" w:ascii="宋体" w:hAnsi="宋体" w:eastAsia="宋体" w:cs="宋体"/>
          <w:b/>
          <w:spacing w:val="0"/>
          <w:sz w:val="24"/>
          <w:szCs w:val="24"/>
        </w:rPr>
        <w:t>优先类节能产品、环境标志产品价格扣除证明材料（如果有的话）</w:t>
      </w:r>
    </w:p>
    <w:p>
      <w:pPr>
        <w:pStyle w:val="7"/>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Style w:val="8"/>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           。</w:t>
            </w:r>
          </w:p>
        </w:tc>
      </w:tr>
    </w:tbl>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3、具体统计、计算：</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3.1若同一合同包内的单个或多个货物取得或同时取得节能、环境标志产品等两项或多项认证的，均按照单个货物对应一项认证的原则统计、计算</w:t>
      </w:r>
      <w:r>
        <w:rPr>
          <w:rFonts w:hint="default" w:ascii="Calibri" w:hAnsi="Calibri" w:cs="Calibri"/>
          <w:spacing w:val="0"/>
          <w:sz w:val="21"/>
          <w:szCs w:val="21"/>
        </w:rPr>
        <w:t>1</w:t>
      </w:r>
      <w:r>
        <w:rPr>
          <w:rFonts w:hint="eastAsia" w:ascii="宋体" w:hAnsi="宋体" w:eastAsia="宋体" w:cs="宋体"/>
          <w:spacing w:val="0"/>
          <w:sz w:val="21"/>
          <w:szCs w:val="21"/>
        </w:rPr>
        <w:t>次。</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3.2计算结果若除不尽，可四舍五入保留到小数点后两位。</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3.3供应商应按照谈判文件上表要求认真统计、计算，否则谈判小组可不予认定。</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3.4若无节能、环境标志产品，不填写本表，否则，视为提供虚假材料。</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3.5强制类节能产品不享受价格扣除。</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7"/>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5、纸质响应文件正本中的本表（若有）应为原件。</w:t>
      </w:r>
    </w:p>
    <w:p>
      <w:pPr>
        <w:pStyle w:val="7"/>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附件8       </w:t>
      </w:r>
      <w:r>
        <w:rPr>
          <w:rStyle w:val="10"/>
          <w:rFonts w:hint="eastAsia" w:ascii="宋体" w:hAnsi="宋体" w:eastAsia="宋体" w:cs="宋体"/>
          <w:b/>
          <w:spacing w:val="0"/>
          <w:sz w:val="24"/>
          <w:szCs w:val="24"/>
        </w:rPr>
        <w:t>要求作为响应文件组成部分的其他内容（若有）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7"/>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2、供应商根据自身实际情况编写有关资料包括如供应商单位简介、竞争性谈判文件要求提供或供应商自已认为体现自身优势，需要补充说明的其它资料，格式自拟。</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7F7F7F"/>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shd w:val="clear" w:fill="7F7F7F"/>
        </w:rPr>
        <w:t>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7"/>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7"/>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0" w:beforeAutospacing="0" w:after="150" w:afterAutospacing="0"/>
        <w:ind w:left="0" w:right="0"/>
      </w:pPr>
      <w:r>
        <w:rPr>
          <w:rFonts w:hint="default" w:ascii="Calibri" w:hAnsi="Calibri" w:cs="Calibri"/>
          <w:sz w:val="21"/>
          <w:szCs w:val="21"/>
        </w:rPr>
        <w:t> </w:t>
      </w:r>
    </w:p>
    <w:p>
      <w:pPr>
        <w:pStyle w:val="3"/>
        <w:keepNext w:val="0"/>
        <w:keepLines w:val="0"/>
        <w:widowControl/>
        <w:suppressLineNumbers w:val="0"/>
        <w:shd w:val="clear" w:fill="FFFFFF"/>
        <w:spacing w:before="300" w:beforeAutospacing="0" w:after="150" w:afterAutospacing="0" w:line="17" w:lineRule="atLeast"/>
        <w:ind w:left="0" w:firstLine="0"/>
        <w:rPr>
          <w:rFonts w:ascii="Helvetica" w:hAnsi="Helvetica" w:eastAsia="Helvetica" w:cs="Helvetica"/>
          <w:b w:val="0"/>
          <w:i w:val="0"/>
          <w:caps w:val="0"/>
          <w:color w:val="393939"/>
          <w:spacing w:val="0"/>
          <w:sz w:val="33"/>
          <w:szCs w:val="33"/>
        </w:rPr>
      </w:pPr>
      <w:r>
        <w:rPr>
          <w:rFonts w:hint="default" w:ascii="Helvetica" w:hAnsi="Helvetica" w:eastAsia="Helvetica" w:cs="Helvetica"/>
          <w:b w:val="0"/>
          <w:i w:val="0"/>
          <w:caps w:val="0"/>
          <w:color w:val="393939"/>
          <w:spacing w:val="0"/>
          <w:sz w:val="33"/>
          <w:szCs w:val="33"/>
          <w:shd w:val="clear" w:fill="FFFFFF"/>
        </w:rPr>
        <w:t>采购文件相关附件</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FD6AA"/>
    <w:multiLevelType w:val="singleLevel"/>
    <w:tmpl w:val="909FD6AA"/>
    <w:lvl w:ilvl="0" w:tentative="0">
      <w:start w:val="9"/>
      <w:numFmt w:val="decimal"/>
      <w:lvlText w:val="%1."/>
      <w:lvlJc w:val="left"/>
      <w:pPr>
        <w:tabs>
          <w:tab w:val="left" w:pos="312"/>
        </w:tabs>
      </w:pPr>
    </w:lvl>
  </w:abstractNum>
  <w:abstractNum w:abstractNumId="1">
    <w:nsid w:val="95AEE03E"/>
    <w:multiLevelType w:val="singleLevel"/>
    <w:tmpl w:val="95AEE03E"/>
    <w:lvl w:ilvl="0" w:tentative="0">
      <w:start w:val="2"/>
      <w:numFmt w:val="chineseCounting"/>
      <w:suff w:val="nothing"/>
      <w:lvlText w:val="%1、"/>
      <w:lvlJc w:val="left"/>
      <w:rPr>
        <w:rFonts w:hint="eastAsia"/>
      </w:rPr>
    </w:lvl>
  </w:abstractNum>
  <w:abstractNum w:abstractNumId="2">
    <w:nsid w:val="9F30575E"/>
    <w:multiLevelType w:val="singleLevel"/>
    <w:tmpl w:val="9F30575E"/>
    <w:lvl w:ilvl="0" w:tentative="0">
      <w:start w:val="3"/>
      <w:numFmt w:val="decimal"/>
      <w:suff w:val="nothing"/>
      <w:lvlText w:val="%1、"/>
      <w:lvlJc w:val="left"/>
    </w:lvl>
  </w:abstractNum>
  <w:abstractNum w:abstractNumId="3">
    <w:nsid w:val="A3E0075F"/>
    <w:multiLevelType w:val="singleLevel"/>
    <w:tmpl w:val="A3E0075F"/>
    <w:lvl w:ilvl="0" w:tentative="0">
      <w:start w:val="1"/>
      <w:numFmt w:val="decimal"/>
      <w:suff w:val="nothing"/>
      <w:lvlText w:val="%1、"/>
      <w:lvlJc w:val="left"/>
    </w:lvl>
  </w:abstractNum>
  <w:abstractNum w:abstractNumId="4">
    <w:nsid w:val="B2383793"/>
    <w:multiLevelType w:val="singleLevel"/>
    <w:tmpl w:val="B2383793"/>
    <w:lvl w:ilvl="0" w:tentative="0">
      <w:start w:val="1"/>
      <w:numFmt w:val="decimal"/>
      <w:lvlText w:val="%1."/>
      <w:lvlJc w:val="left"/>
      <w:pPr>
        <w:tabs>
          <w:tab w:val="left" w:pos="312"/>
        </w:tabs>
      </w:pPr>
    </w:lvl>
  </w:abstractNum>
  <w:abstractNum w:abstractNumId="5">
    <w:nsid w:val="BC49454A"/>
    <w:multiLevelType w:val="singleLevel"/>
    <w:tmpl w:val="BC49454A"/>
    <w:lvl w:ilvl="0" w:tentative="0">
      <w:start w:val="1"/>
      <w:numFmt w:val="decimal"/>
      <w:suff w:val="nothing"/>
      <w:lvlText w:val="%1、"/>
      <w:lvlJc w:val="left"/>
    </w:lvl>
  </w:abstractNum>
  <w:abstractNum w:abstractNumId="6">
    <w:nsid w:val="BE1E1D81"/>
    <w:multiLevelType w:val="singleLevel"/>
    <w:tmpl w:val="BE1E1D81"/>
    <w:lvl w:ilvl="0" w:tentative="0">
      <w:start w:val="1"/>
      <w:numFmt w:val="chineseCounting"/>
      <w:suff w:val="nothing"/>
      <w:lvlText w:val="%1、"/>
      <w:lvlJc w:val="left"/>
      <w:rPr>
        <w:rFonts w:hint="eastAsia"/>
      </w:rPr>
    </w:lvl>
  </w:abstractNum>
  <w:abstractNum w:abstractNumId="7">
    <w:nsid w:val="EADAFC67"/>
    <w:multiLevelType w:val="singleLevel"/>
    <w:tmpl w:val="EADAFC67"/>
    <w:lvl w:ilvl="0" w:tentative="0">
      <w:start w:val="1"/>
      <w:numFmt w:val="decimal"/>
      <w:lvlText w:val="%1."/>
      <w:lvlJc w:val="left"/>
      <w:pPr>
        <w:tabs>
          <w:tab w:val="left" w:pos="312"/>
        </w:tabs>
      </w:pPr>
    </w:lvl>
  </w:abstractNum>
  <w:abstractNum w:abstractNumId="8">
    <w:nsid w:val="FBCC49E6"/>
    <w:multiLevelType w:val="singleLevel"/>
    <w:tmpl w:val="FBCC49E6"/>
    <w:lvl w:ilvl="0" w:tentative="0">
      <w:start w:val="1"/>
      <w:numFmt w:val="decimal"/>
      <w:suff w:val="nothing"/>
      <w:lvlText w:val="%1、"/>
      <w:lvlJc w:val="left"/>
    </w:lvl>
  </w:abstractNum>
  <w:abstractNum w:abstractNumId="9">
    <w:nsid w:val="09194A38"/>
    <w:multiLevelType w:val="singleLevel"/>
    <w:tmpl w:val="09194A38"/>
    <w:lvl w:ilvl="0" w:tentative="0">
      <w:start w:val="1"/>
      <w:numFmt w:val="decimal"/>
      <w:suff w:val="nothing"/>
      <w:lvlText w:val="%1、"/>
      <w:lvlJc w:val="left"/>
    </w:lvl>
  </w:abstractNum>
  <w:abstractNum w:abstractNumId="10">
    <w:nsid w:val="16278D93"/>
    <w:multiLevelType w:val="singleLevel"/>
    <w:tmpl w:val="16278D93"/>
    <w:lvl w:ilvl="0" w:tentative="0">
      <w:start w:val="7"/>
      <w:numFmt w:val="decimal"/>
      <w:lvlText w:val="%1."/>
      <w:lvlJc w:val="left"/>
      <w:pPr>
        <w:tabs>
          <w:tab w:val="left" w:pos="312"/>
        </w:tabs>
      </w:pPr>
    </w:lvl>
  </w:abstractNum>
  <w:abstractNum w:abstractNumId="11">
    <w:nsid w:val="26F79E9D"/>
    <w:multiLevelType w:val="singleLevel"/>
    <w:tmpl w:val="26F79E9D"/>
    <w:lvl w:ilvl="0" w:tentative="0">
      <w:start w:val="1"/>
      <w:numFmt w:val="decimal"/>
      <w:suff w:val="nothing"/>
      <w:lvlText w:val="%1、"/>
      <w:lvlJc w:val="left"/>
    </w:lvl>
  </w:abstractNum>
  <w:abstractNum w:abstractNumId="12">
    <w:nsid w:val="3A41434D"/>
    <w:multiLevelType w:val="singleLevel"/>
    <w:tmpl w:val="3A41434D"/>
    <w:lvl w:ilvl="0" w:tentative="0">
      <w:start w:val="1"/>
      <w:numFmt w:val="decimal"/>
      <w:lvlText w:val="%1."/>
      <w:lvlJc w:val="left"/>
      <w:pPr>
        <w:tabs>
          <w:tab w:val="left" w:pos="312"/>
        </w:tabs>
      </w:pPr>
    </w:lvl>
  </w:abstractNum>
  <w:abstractNum w:abstractNumId="13">
    <w:nsid w:val="40B58DD8"/>
    <w:multiLevelType w:val="singleLevel"/>
    <w:tmpl w:val="40B58DD8"/>
    <w:lvl w:ilvl="0" w:tentative="0">
      <w:start w:val="1"/>
      <w:numFmt w:val="decimal"/>
      <w:lvlText w:val="%1."/>
      <w:lvlJc w:val="left"/>
      <w:pPr>
        <w:tabs>
          <w:tab w:val="left" w:pos="312"/>
        </w:tabs>
      </w:pPr>
    </w:lvl>
  </w:abstractNum>
  <w:abstractNum w:abstractNumId="14">
    <w:nsid w:val="4C58EE7F"/>
    <w:multiLevelType w:val="singleLevel"/>
    <w:tmpl w:val="4C58EE7F"/>
    <w:lvl w:ilvl="0" w:tentative="0">
      <w:start w:val="7"/>
      <w:numFmt w:val="decimal"/>
      <w:lvlText w:val="%1."/>
      <w:lvlJc w:val="left"/>
      <w:pPr>
        <w:tabs>
          <w:tab w:val="left" w:pos="312"/>
        </w:tabs>
      </w:pPr>
    </w:lvl>
  </w:abstractNum>
  <w:abstractNum w:abstractNumId="15">
    <w:nsid w:val="7881AAE4"/>
    <w:multiLevelType w:val="singleLevel"/>
    <w:tmpl w:val="7881AAE4"/>
    <w:lvl w:ilvl="0" w:tentative="0">
      <w:start w:val="1"/>
      <w:numFmt w:val="decimal"/>
      <w:lvlText w:val="(%1)"/>
      <w:lvlJc w:val="left"/>
      <w:pPr>
        <w:tabs>
          <w:tab w:val="left" w:pos="312"/>
        </w:tabs>
      </w:pPr>
    </w:lvl>
  </w:abstractNum>
  <w:num w:numId="1">
    <w:abstractNumId w:val="15"/>
  </w:num>
  <w:num w:numId="2">
    <w:abstractNumId w:val="6"/>
  </w:num>
  <w:num w:numId="3">
    <w:abstractNumId w:val="1"/>
  </w:num>
  <w:num w:numId="4">
    <w:abstractNumId w:val="8"/>
  </w:num>
  <w:num w:numId="5">
    <w:abstractNumId w:val="9"/>
  </w:num>
  <w:num w:numId="6">
    <w:abstractNumId w:val="11"/>
  </w:num>
  <w:num w:numId="7">
    <w:abstractNumId w:val="7"/>
  </w:num>
  <w:num w:numId="8">
    <w:abstractNumId w:val="2"/>
  </w:num>
  <w:num w:numId="9">
    <w:abstractNumId w:val="5"/>
  </w:num>
  <w:num w:numId="10">
    <w:abstractNumId w:val="0"/>
  </w:num>
  <w:num w:numId="11">
    <w:abstractNumId w:val="14"/>
  </w:num>
  <w:num w:numId="12">
    <w:abstractNumId w:val="12"/>
  </w:num>
  <w:num w:numId="13">
    <w:abstractNumId w:val="13"/>
  </w:num>
  <w:num w:numId="14">
    <w:abstractNumId w:val="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71F64"/>
    <w:rsid w:val="14F608BC"/>
    <w:rsid w:val="15F92034"/>
    <w:rsid w:val="1B693BA2"/>
    <w:rsid w:val="1BED2CD6"/>
    <w:rsid w:val="24023D79"/>
    <w:rsid w:val="240D6672"/>
    <w:rsid w:val="26D410BE"/>
    <w:rsid w:val="2B08348E"/>
    <w:rsid w:val="2BDB6151"/>
    <w:rsid w:val="2BDF114D"/>
    <w:rsid w:val="2FC60A77"/>
    <w:rsid w:val="45FA0260"/>
    <w:rsid w:val="4CFD3EB2"/>
    <w:rsid w:val="52110724"/>
    <w:rsid w:val="567A5884"/>
    <w:rsid w:val="5D2715BC"/>
    <w:rsid w:val="60D82923"/>
    <w:rsid w:val="68571F64"/>
    <w:rsid w:val="6A9D4EB8"/>
    <w:rsid w:val="6B7A19B3"/>
    <w:rsid w:val="70940EE9"/>
    <w:rsid w:val="7137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next w:val="1"/>
    <w:qFormat/>
    <w:uiPriority w:val="0"/>
    <w:pPr>
      <w:textAlignment w:val="baseline"/>
    </w:pPr>
    <w:rPr>
      <w:b/>
      <w:bCs/>
      <w:sz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41"/>
    <w:basedOn w:val="9"/>
    <w:qFormat/>
    <w:uiPriority w:val="0"/>
    <w:rPr>
      <w:rFonts w:hint="eastAsia" w:ascii="等线" w:hAnsi="等线" w:eastAsia="等线" w:cs="等线"/>
      <w:color w:val="000000"/>
      <w:sz w:val="22"/>
      <w:szCs w:val="22"/>
      <w:u w:val="none"/>
    </w:rPr>
  </w:style>
  <w:style w:type="character" w:customStyle="1" w:styleId="12">
    <w:name w:val="font21"/>
    <w:basedOn w:val="9"/>
    <w:qFormat/>
    <w:uiPriority w:val="0"/>
    <w:rPr>
      <w:rFonts w:hint="eastAsia" w:ascii="等线" w:hAnsi="等线" w:eastAsia="等线" w:cs="等线"/>
      <w:color w:val="000000"/>
      <w:sz w:val="21"/>
      <w:szCs w:val="21"/>
      <w:u w:val="none"/>
    </w:rPr>
  </w:style>
  <w:style w:type="character" w:customStyle="1" w:styleId="13">
    <w:name w:val="font11"/>
    <w:basedOn w:val="9"/>
    <w:qFormat/>
    <w:uiPriority w:val="0"/>
    <w:rPr>
      <w:rFonts w:hint="eastAsia" w:ascii="等线" w:hAnsi="等线" w:eastAsia="等线" w:cs="等线"/>
      <w:color w:val="000000"/>
      <w:sz w:val="22"/>
      <w:szCs w:val="22"/>
      <w:u w:val="none"/>
    </w:rPr>
  </w:style>
  <w:style w:type="character" w:customStyle="1" w:styleId="14">
    <w:name w:val="font71"/>
    <w:basedOn w:val="9"/>
    <w:qFormat/>
    <w:uiPriority w:val="0"/>
    <w:rPr>
      <w:rFonts w:hint="eastAsia" w:ascii="等线" w:hAnsi="等线" w:eastAsia="等线" w:cs="等线"/>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2021-12-22T09:27:00Z</dcterms:created>
  <dc:creator>华腾招标吴明珠</dc:creator>
  <cp:lastModifiedBy>华腾招标吴明珠</cp:lastModifiedBy>
  <dcterms:modified xsi:type="dcterms:W3CDTF">2022-03-01T02:18:39Z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