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420" w:firstLineChars="55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〔2024〕闽漳狱减字第</w:t>
      </w:r>
      <w:r>
        <w:rPr>
          <w:rFonts w:hint="eastAsia" w:ascii="楷体_GB2312" w:eastAsia="楷体_GB2312" w:cs="楷体_GB2312"/>
          <w:szCs w:val="32"/>
          <w:lang w:val="en-US" w:eastAsia="zh-CN"/>
        </w:rPr>
        <w:t>23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罪犯曹义方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，男，1974年5月28日出生，汉族，初中文化，户籍所在地重庆市垫江县，捕前系农民。</w:t>
      </w:r>
    </w:p>
    <w:p>
      <w:pPr>
        <w:spacing w:line="52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泉州市中级人民法院于2017年9月18日作出（2017）闽05刑初61号刑事附带民事判决，以被告人曹义方犯抢劫罪，判处死刑，缓期二年执行，剥夺政治权利终身，并处没收个人全部财产。共同退出违法所得人民币800元发还被害人亲属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共同赔偿</w:t>
      </w:r>
      <w:r>
        <w:rPr>
          <w:rFonts w:hint="eastAsia" w:ascii="仿宋_GB2312" w:hAnsi="Times New Roman"/>
          <w:szCs w:val="32"/>
          <w:lang w:eastAsia="zh-CN"/>
        </w:rPr>
        <w:t>附带</w:t>
      </w:r>
      <w:r>
        <w:rPr>
          <w:rFonts w:hint="eastAsia" w:ascii="仿宋_GB2312" w:hAnsi="Times New Roman"/>
          <w:szCs w:val="32"/>
        </w:rPr>
        <w:t>民事诉讼原告人经济损失人民币329343.5元，个人赔偿人民币164671.75元，并互负连带赔偿责任。宣判后，该犯不服，提出上诉</w:t>
      </w:r>
      <w:r>
        <w:rPr>
          <w:rFonts w:hint="eastAsia" w:ascii="仿宋_GB2312" w:hAnsi="Times New Roman"/>
          <w:szCs w:val="32"/>
          <w:lang w:eastAsia="zh-CN"/>
        </w:rPr>
        <w:t>。</w:t>
      </w:r>
      <w:r>
        <w:rPr>
          <w:rFonts w:hint="eastAsia" w:ascii="仿宋_GB2312" w:hAnsi="Times New Roman"/>
          <w:szCs w:val="32"/>
        </w:rPr>
        <w:t>福建省高级人民法院于2018年4月17日作出(2018)闽刑终131号刑事裁定，驳回上诉，全案维持原判。本裁定为终审裁定，即为核准以抢劫罪判处被告人曹义方死刑，缓期二年执行，剥夺政治权利终身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，并处没收个人财产全部的刑事裁定。死刑缓期执行期自2018年5月3日起至2020年5月2日止。2018年5月25日交付</w:t>
      </w:r>
      <w:r>
        <w:rPr>
          <w:rFonts w:hint="eastAsia" w:ascii="仿宋_GB2312" w:hAnsi="Times New Roman"/>
          <w:szCs w:val="32"/>
          <w:lang w:eastAsia="zh-CN"/>
        </w:rPr>
        <w:t>福建省</w:t>
      </w:r>
      <w:r>
        <w:rPr>
          <w:rFonts w:hint="eastAsia" w:ascii="仿宋_GB2312" w:hAnsi="Times New Roman"/>
          <w:szCs w:val="32"/>
        </w:rPr>
        <w:t>漳州监狱执行刑罚。2020年11月13日福建省高级人民法院以（2020）闽刑更362号刑事裁定</w:t>
      </w:r>
      <w:r>
        <w:rPr>
          <w:rFonts w:hint="eastAsia" w:ascii="仿宋_GB2312" w:hAnsi="Times New Roman"/>
          <w:szCs w:val="32"/>
          <w:lang w:eastAsia="zh-CN"/>
        </w:rPr>
        <w:t>书</w:t>
      </w:r>
      <w:r>
        <w:rPr>
          <w:rFonts w:hint="eastAsia" w:ascii="仿宋_GB2312" w:hAnsi="Times New Roman"/>
          <w:szCs w:val="32"/>
        </w:rPr>
        <w:t>，</w:t>
      </w:r>
      <w:r>
        <w:rPr>
          <w:rFonts w:hint="eastAsia" w:ascii="仿宋_GB2312" w:hAnsi="Times New Roman"/>
          <w:szCs w:val="32"/>
          <w:lang w:eastAsia="zh-CN"/>
        </w:rPr>
        <w:t>对其</w:t>
      </w:r>
      <w:r>
        <w:rPr>
          <w:rFonts w:hint="eastAsia" w:ascii="仿宋_GB2312" w:hAnsi="Times New Roman"/>
          <w:szCs w:val="32"/>
        </w:rPr>
        <w:t>减为无期徒刑，剥夺政治权利终身不变，并于2020年11月24日送达。属普管级罪犯。</w:t>
      </w:r>
    </w:p>
    <w:p>
      <w:pPr>
        <w:spacing w:line="520" w:lineRule="exact"/>
        <w:rPr>
          <w:rFonts w:ascii="仿宋_GB2312" w:hAnsi="Times New Roman"/>
          <w:b w:val="0"/>
          <w:bCs/>
          <w:szCs w:val="32"/>
        </w:rPr>
      </w:pPr>
      <w:r>
        <w:rPr>
          <w:rFonts w:hint="eastAsia" w:ascii="仿宋_GB2312" w:hAnsi="Times New Roman"/>
          <w:b/>
          <w:szCs w:val="32"/>
        </w:rPr>
        <w:t xml:space="preserve">   </w:t>
      </w:r>
      <w:r>
        <w:rPr>
          <w:rFonts w:hint="eastAsia" w:ascii="仿宋_GB2312" w:hAnsi="Times New Roman"/>
          <w:b w:val="0"/>
          <w:bCs/>
          <w:szCs w:val="32"/>
        </w:rPr>
        <w:t xml:space="preserve"> 该犯自上次减刑以来确有悔改表现，具体事实如下：</w:t>
      </w:r>
    </w:p>
    <w:p>
      <w:pPr>
        <w:spacing w:line="52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认罪悔罪：能服从法院判决，自书认罪悔罪书。</w:t>
      </w:r>
    </w:p>
    <w:p>
      <w:pPr>
        <w:spacing w:line="520" w:lineRule="exact"/>
        <w:ind w:firstLine="640" w:firstLineChars="200"/>
        <w:rPr>
          <w:rFonts w:ascii="仿宋_GB2312" w:hAnsi="宋体"/>
          <w:szCs w:val="32"/>
        </w:rPr>
      </w:pPr>
      <w:r>
        <w:rPr>
          <w:rFonts w:hint="eastAsia" w:ascii="仿宋_GB2312" w:hAnsi="Times New Roman"/>
          <w:szCs w:val="32"/>
        </w:rPr>
        <w:t>遵守监规：该犯考核期内虽有违规，但经民警教育后，能认识到错误，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7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学习情况：能参加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思想、文化、职业技术教育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。</w:t>
      </w:r>
    </w:p>
    <w:p>
      <w:pPr>
        <w:pStyle w:val="7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劳动改造：能参加劳动，努力完成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劳动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任务。</w:t>
      </w:r>
    </w:p>
    <w:p>
      <w:pPr>
        <w:spacing w:line="520" w:lineRule="exact"/>
        <w:ind w:firstLine="640" w:firstLineChars="200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奖惩情况：该犯考核期201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日至20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月累计获考核分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2090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分, 20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月至202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" w:cs="宋体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月，累计获考核分</w:t>
      </w:r>
      <w:r>
        <w:rPr>
          <w:rFonts w:hint="eastAsia" w:ascii="仿宋_GB2312" w:hAnsi="仿宋" w:cs="宋体"/>
          <w:szCs w:val="32"/>
        </w:rPr>
        <w:t>5</w:t>
      </w:r>
      <w:r>
        <w:rPr>
          <w:rFonts w:hint="eastAsia" w:ascii="仿宋_GB2312" w:hAnsi="仿宋" w:cs="宋体"/>
          <w:szCs w:val="32"/>
          <w:lang w:val="en-US" w:eastAsia="zh-CN"/>
        </w:rPr>
        <w:t>708</w:t>
      </w:r>
      <w:r>
        <w:rPr>
          <w:rFonts w:hint="eastAsia" w:ascii="仿宋_GB2312" w:hAnsi="仿宋" w:cs="宋体"/>
          <w:szCs w:val="32"/>
        </w:rPr>
        <w:t>.5</w:t>
      </w:r>
      <w:r>
        <w:rPr>
          <w:rFonts w:hint="eastAsia" w:ascii="仿宋_GB2312" w:hAnsi="仿宋" w:cs="宋体"/>
          <w:szCs w:val="32"/>
          <w:lang w:val="zh-CN"/>
        </w:rPr>
        <w:t>分，合计获得考核分</w:t>
      </w:r>
      <w:r>
        <w:rPr>
          <w:rFonts w:hint="eastAsia" w:ascii="仿宋_GB2312" w:hAnsi="仿宋" w:cs="宋体"/>
          <w:szCs w:val="32"/>
        </w:rPr>
        <w:t>7</w:t>
      </w:r>
      <w:r>
        <w:rPr>
          <w:rFonts w:hint="eastAsia" w:ascii="仿宋_GB2312" w:hAnsi="仿宋" w:cs="宋体"/>
          <w:szCs w:val="32"/>
          <w:lang w:val="en-US" w:eastAsia="zh-CN"/>
        </w:rPr>
        <w:t>798</w:t>
      </w:r>
      <w:r>
        <w:rPr>
          <w:rFonts w:hint="eastAsia" w:ascii="仿宋_GB2312" w:hAnsi="仿宋" w:cs="宋体"/>
          <w:szCs w:val="32"/>
        </w:rPr>
        <w:t>.5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分，表扬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次。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2018年5月25日至2020年5月违规1次</w:t>
      </w:r>
      <w:r>
        <w:rPr>
          <w:rFonts w:hint="eastAsia" w:ascii="仿宋_GB2312" w:hAnsi="仿宋" w:cs="宋体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扣</w:t>
      </w:r>
      <w:r>
        <w:rPr>
          <w:rFonts w:hint="eastAsia" w:ascii="仿宋_GB2312" w:hAnsi="仿宋" w:cs="宋体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考核分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20分，</w:t>
      </w:r>
      <w:r>
        <w:rPr>
          <w:rFonts w:hint="eastAsia" w:ascii="仿宋_GB2312" w:hAnsi="仿宋" w:cs="宋体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无重大违规。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2020年6月至2024年</w:t>
      </w:r>
      <w:r>
        <w:rPr>
          <w:rFonts w:hint="eastAsia" w:ascii="仿宋_GB2312" w:hAnsi="仿宋" w:cs="宋体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违规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次，扣考核分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分，无重大违规。</w:t>
      </w:r>
    </w:p>
    <w:p>
      <w:pPr>
        <w:spacing w:line="520" w:lineRule="exact"/>
        <w:ind w:firstLine="640" w:firstLineChars="200"/>
        <w:rPr>
          <w:rFonts w:ascii="仿宋_GB2312"/>
          <w:color w:val="000000"/>
          <w:szCs w:val="32"/>
        </w:rPr>
      </w:pPr>
      <w:r>
        <w:rPr>
          <w:rFonts w:hint="eastAsia" w:ascii="仿宋_GB2312" w:hAnsi="仿宋_GB2312" w:cs="仿宋_GB2312"/>
          <w:szCs w:val="32"/>
        </w:rPr>
        <w:t>原判财产性判项</w:t>
      </w:r>
      <w:r>
        <w:rPr>
          <w:rFonts w:hint="eastAsia" w:ascii="仿宋_GB2312" w:hAnsi="仿宋_GB2312" w:cs="仿宋_GB2312"/>
          <w:szCs w:val="32"/>
          <w:lang w:eastAsia="zh-CN"/>
        </w:rPr>
        <w:t>已履行人民币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151500元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其中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同案犯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于判决时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履行人民币150000元）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其中本次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提请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向福建省泉州市中级人民法院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缴纳民事赔偿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人民币1500元。</w:t>
      </w:r>
      <w:r>
        <w:rPr>
          <w:rFonts w:hint="eastAsia" w:ascii="仿宋_GB2312"/>
          <w:color w:val="000000"/>
          <w:szCs w:val="32"/>
        </w:rPr>
        <w:t>该犯考核期</w:t>
      </w:r>
      <w:r>
        <w:rPr>
          <w:rFonts w:hint="eastAsia" w:ascii="仿宋_GB2312"/>
          <w:color w:val="auto"/>
          <w:szCs w:val="32"/>
        </w:rPr>
        <w:t>月均消费</w:t>
      </w:r>
      <w:r>
        <w:rPr>
          <w:rFonts w:hint="eastAsia" w:ascii="仿宋_GB2312"/>
          <w:color w:val="auto"/>
          <w:szCs w:val="32"/>
          <w:lang w:eastAsia="zh-CN"/>
        </w:rPr>
        <w:t>人民币</w:t>
      </w:r>
      <w:r>
        <w:rPr>
          <w:rFonts w:hint="eastAsia" w:ascii="仿宋_GB2312"/>
          <w:color w:val="auto"/>
          <w:szCs w:val="32"/>
          <w:lang w:val="en-US" w:eastAsia="zh-CN"/>
        </w:rPr>
        <w:t>161.79</w:t>
      </w:r>
      <w:r>
        <w:rPr>
          <w:rFonts w:hint="eastAsia" w:ascii="仿宋_GB2312"/>
          <w:color w:val="auto"/>
          <w:szCs w:val="32"/>
        </w:rPr>
        <w:t>元（</w:t>
      </w:r>
      <w:r>
        <w:rPr>
          <w:rFonts w:hint="eastAsia" w:ascii="仿宋_GB2312"/>
          <w:color w:val="auto"/>
          <w:szCs w:val="32"/>
          <w:lang w:eastAsia="zh-CN"/>
        </w:rPr>
        <w:t>注：</w:t>
      </w:r>
      <w:r>
        <w:rPr>
          <w:rFonts w:hint="eastAsia" w:ascii="仿宋_GB2312"/>
          <w:color w:val="auto"/>
          <w:szCs w:val="32"/>
        </w:rPr>
        <w:t>不包括购买药品，书籍报刊等），账户可用余额人民币</w:t>
      </w:r>
      <w:r>
        <w:rPr>
          <w:rFonts w:hint="eastAsia" w:ascii="仿宋_GB2312"/>
          <w:color w:val="auto"/>
          <w:szCs w:val="32"/>
          <w:lang w:val="en-US" w:eastAsia="zh-CN"/>
        </w:rPr>
        <w:t>492.67</w:t>
      </w:r>
      <w:r>
        <w:rPr>
          <w:rFonts w:hint="eastAsia" w:ascii="仿宋_GB2312"/>
          <w:color w:val="000000"/>
          <w:szCs w:val="32"/>
        </w:rPr>
        <w:t>元。</w:t>
      </w:r>
      <w:r>
        <w:rPr>
          <w:rFonts w:hint="eastAsia" w:ascii="仿宋_GB2312" w:cs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cs="Times New Roman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cs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cs="Times New Roman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cs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月2</w:t>
      </w:r>
      <w:r>
        <w:rPr>
          <w:rFonts w:hint="eastAsia" w:ascii="仿宋_GB2312" w:cs="Times New Roman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cs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日福建省</w:t>
      </w:r>
      <w:r>
        <w:rPr>
          <w:rFonts w:hint="eastAsia" w:ascii="仿宋_GB2312" w:cs="Times New Roman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泉州市中级人民</w:t>
      </w:r>
      <w:r>
        <w:rPr>
          <w:rFonts w:hint="eastAsia" w:ascii="仿宋_GB2312" w:cs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法院财产性判项复函</w:t>
      </w:r>
      <w:r>
        <w:rPr>
          <w:rFonts w:hint="eastAsia" w:ascii="仿宋_GB2312" w:cs="Times New Roman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载明：</w:t>
      </w:r>
      <w:r>
        <w:rPr>
          <w:rFonts w:hint="eastAsia" w:ascii="仿宋_GB2312" w:cs="Times New Roman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通过执行流程查控系统对被执行人曹义方的财产情况进行调查，因查无被执行人其他可供执行财产线索，裁定终结本次执行</w:t>
      </w:r>
      <w:r>
        <w:rPr>
          <w:rFonts w:hint="eastAsia" w:ascii="仿宋_GB2312" w:cs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spacing w:line="520" w:lineRule="exact"/>
        <w:ind w:firstLine="640" w:firstLineChars="200"/>
        <w:rPr>
          <w:rFonts w:asci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该犯系</w:t>
      </w:r>
      <w:r>
        <w:rPr>
          <w:rFonts w:hint="eastAsia" w:ascii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因抢劫罪被判处死刑缓期二年执行的</w:t>
      </w:r>
      <w:r>
        <w:rPr>
          <w:rFonts w:hint="eastAsia" w:asci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罪犯，属于从严掌握减刑对象。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spacing w:line="520" w:lineRule="exact"/>
        <w:ind w:firstLine="640" w:firstLineChars="200"/>
        <w:rPr>
          <w:rFonts w:asci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因此，依照</w:t>
      </w:r>
      <w:r>
        <w:rPr>
          <w:rFonts w:hint="eastAsia" w:ascii="仿宋_GB2312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《中华人民共和国刑法》第五十七条、第七十八条，《中华人民共和国刑事诉讼法》第二百七十三条第二款和《中华人民共和国监狱法》第二十九条规定，建议对罪犯曹义方减为有期徒刑二十五年，剥夺政治权利改为十年。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pStyle w:val="7"/>
        <w:spacing w:line="520" w:lineRule="exact"/>
        <w:ind w:right="-48" w:rightChars="-15" w:firstLine="0" w:firstLineChars="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福建省高级人民法院</w:t>
      </w:r>
    </w:p>
    <w:p>
      <w:pPr>
        <w:pStyle w:val="7"/>
        <w:spacing w:line="430" w:lineRule="exact"/>
        <w:ind w:left="640" w:firstLine="0" w:firstLineChars="0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7"/>
        <w:spacing w:line="430" w:lineRule="exact"/>
        <w:ind w:left="640" w:firstLine="0" w:firstLineChars="0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附件：⒈罪犯曹义方卷宗二册</w:t>
      </w:r>
    </w:p>
    <w:p>
      <w:pPr>
        <w:pStyle w:val="7"/>
        <w:spacing w:line="430" w:lineRule="exact"/>
        <w:ind w:left="640" w:right="-48" w:rightChars="-15" w:firstLine="960" w:firstLineChars="300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⒉减刑建议书五份</w:t>
      </w:r>
    </w:p>
    <w:p>
      <w:pPr>
        <w:pStyle w:val="2"/>
        <w:spacing w:line="430" w:lineRule="exact"/>
        <w:ind w:left="640" w:right="-48" w:rightChars="-15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430" w:lineRule="exact"/>
        <w:ind w:right="1280" w:rightChars="400" w:firstLine="5120" w:firstLineChars="160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430" w:lineRule="exact"/>
        <w:ind w:right="1280" w:rightChars="400" w:firstLine="5120" w:firstLineChars="160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2024年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</w:p>
    <w:p>
      <w:pPr>
        <w:rPr>
          <w:rFonts w:hint="eastAsia" w:ascii="仿宋_GB2312" w:hAnsi="仿宋_GB2312" w:cs="仿宋_GB2312"/>
          <w:szCs w:val="32"/>
        </w:rPr>
      </w:pPr>
    </w:p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365B4"/>
    <w:rsid w:val="14EF2236"/>
    <w:rsid w:val="1891399F"/>
    <w:rsid w:val="1AB716AC"/>
    <w:rsid w:val="1E515310"/>
    <w:rsid w:val="27CB6811"/>
    <w:rsid w:val="2F2C6634"/>
    <w:rsid w:val="337323F4"/>
    <w:rsid w:val="360B03BC"/>
    <w:rsid w:val="38445406"/>
    <w:rsid w:val="3F7D67BC"/>
    <w:rsid w:val="446705EF"/>
    <w:rsid w:val="4A15378B"/>
    <w:rsid w:val="6CF908EB"/>
    <w:rsid w:val="6E855E27"/>
    <w:rsid w:val="7DA94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1121</Words>
  <Characters>1272</Characters>
  <Lines>0</Lines>
  <Paragraphs>0</Paragraphs>
  <TotalTime>3</TotalTime>
  <ScaleCrop>false</ScaleCrop>
  <LinksUpToDate>false</LinksUpToDate>
  <CharactersWithSpaces>1283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2023-08-20T23:31:00Z</dcterms:created>
  <dc:creator>Administrator</dc:creator>
  <cp:lastModifiedBy>Administrator</cp:lastModifiedBy>
  <dcterms:modified xsi:type="dcterms:W3CDTF">2025-07-28T08:03:36Z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F603B086341D43F1A4672C8A6061A058</vt:lpwstr>
  </property>
</Properties>
</file>