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ascii="楷体_GB2312" w:hAnsi="Times New Roman" w:eastAsia="楷体_GB2312" w:cs="楷体_GB2312"/>
          <w:szCs w:val="32"/>
        </w:rPr>
        <w:t>2024</w:t>
      </w:r>
      <w:r>
        <w:rPr>
          <w:rFonts w:hint="eastAsia" w:ascii="Times New Roman" w:hAnsi="Times New Roman" w:eastAsia="楷体_GB2312" w:cs="楷体_GB2312"/>
          <w:szCs w:val="32"/>
        </w:rPr>
        <w:t>〕闽漳狱减字第</w:t>
      </w:r>
      <w:r>
        <w:rPr>
          <w:rFonts w:hint="eastAsia" w:ascii="楷体_GB2312" w:hAnsi="Times New Roman" w:eastAsia="楷体_GB2312" w:cs="楷体_GB2312"/>
          <w:szCs w:val="32"/>
        </w:rPr>
        <w:t>548</w:t>
      </w:r>
      <w:r>
        <w:rPr>
          <w:rFonts w:hint="eastAsia" w:ascii="Times New Roman" w:hAnsi="Times New Roman" w:eastAsia="楷体_GB2312" w:cs="楷体_GB2312"/>
          <w:szCs w:val="32"/>
        </w:rPr>
        <w:t>号</w:t>
      </w:r>
    </w:p>
    <w:p>
      <w:pPr>
        <w:spacing w:line="500" w:lineRule="exact"/>
        <w:ind w:firstLine="640" w:firstLineChars="200"/>
        <w:rPr>
          <w:rFonts w:ascii="仿宋_GB2312" w:hAnsi="Times New Roman"/>
          <w:szCs w:val="32"/>
        </w:rPr>
      </w:pPr>
      <w:r>
        <w:rPr>
          <w:rFonts w:hint="eastAsia" w:ascii="仿宋_GB2312" w:hAnsi="Times New Roman"/>
          <w:szCs w:val="32"/>
        </w:rPr>
        <w:t>罪犯卢锦材</w:t>
      </w:r>
      <w:r>
        <w:rPr>
          <w:rFonts w:hint="eastAsia" w:ascii="仿宋_GB2312" w:hAnsi="Times New Roman"/>
          <w:szCs w:val="32"/>
        </w:rPr>
        <w:fldChar w:fldCharType="begin"/>
      </w:r>
      <w:r>
        <w:rPr>
          <w:rFonts w:hint="eastAsia" w:ascii="仿宋_GB2312" w:hAnsi="Times New Roman"/>
          <w:szCs w:val="32"/>
        </w:rPr>
        <w:instrText xml:space="preserve"> AUTOTEXTLIST  \* MERGEFORMAT </w:instrText>
      </w:r>
      <w:r>
        <w:rPr>
          <w:rFonts w:hint="eastAsia" w:ascii="仿宋_GB2312" w:hAnsi="Times New Roman"/>
          <w:szCs w:val="32"/>
        </w:rPr>
        <w:fldChar w:fldCharType="end"/>
      </w:r>
      <w:r>
        <w:rPr>
          <w:rFonts w:hint="eastAsia" w:ascii="仿宋_GB2312" w:hAnsi="Times New Roman"/>
          <w:szCs w:val="32"/>
        </w:rPr>
        <w:t>，男，1974年1月28日出生，汉族，初中文化，户籍所在地</w:t>
      </w:r>
      <w:r>
        <w:rPr>
          <w:rFonts w:hint="eastAsia" w:ascii="仿宋_GB2312" w:hAnsi="仿宋" w:cs="仿宋_GB2312"/>
          <w:szCs w:val="32"/>
        </w:rPr>
        <w:t>福建省龙岩市永定区</w:t>
      </w:r>
      <w:bookmarkStart w:id="0" w:name="_GoBack"/>
      <w:bookmarkEnd w:id="0"/>
      <w:r>
        <w:rPr>
          <w:rFonts w:hint="eastAsia" w:ascii="仿宋_GB2312" w:hAnsi="Times New Roman"/>
          <w:szCs w:val="32"/>
        </w:rPr>
        <w:t>，捕前系农民。</w:t>
      </w:r>
    </w:p>
    <w:p>
      <w:pPr>
        <w:spacing w:line="500" w:lineRule="exact"/>
        <w:ind w:firstLine="640" w:firstLineChars="200"/>
        <w:rPr>
          <w:rFonts w:ascii="仿宋_GB2312" w:hAnsi="Times New Roman"/>
          <w:szCs w:val="32"/>
        </w:rPr>
      </w:pPr>
      <w:r>
        <w:rPr>
          <w:rFonts w:hint="eastAsia" w:ascii="仿宋_GB2312" w:hAnsi="仿宋" w:cs="仿宋_GB2312"/>
          <w:szCs w:val="32"/>
        </w:rPr>
        <w:t>福建省龙岩市中级人民法院于2013年5月2日</w:t>
      </w:r>
      <w:r>
        <w:rPr>
          <w:rFonts w:hint="eastAsia" w:ascii="仿宋_GB2312" w:hAnsi="Times New Roman"/>
          <w:szCs w:val="32"/>
        </w:rPr>
        <w:t>作出</w:t>
      </w:r>
      <w:r>
        <w:rPr>
          <w:rFonts w:hint="eastAsia" w:ascii="仿宋_GB2312" w:hAnsi="仿宋" w:cs="仿宋_GB2312"/>
          <w:szCs w:val="32"/>
        </w:rPr>
        <w:t>(2012)岩刑初字第45号刑事附带民事判决</w:t>
      </w:r>
      <w:r>
        <w:rPr>
          <w:rFonts w:hint="eastAsia" w:ascii="仿宋_GB2312" w:hAnsi="Times New Roman"/>
          <w:szCs w:val="32"/>
        </w:rPr>
        <w:t>，以被告人卢锦材犯故意伤害罪，判处有期徒刑十五年，追缴违法所得人民币5000元，连带赔偿附带民事诉讼原告人经济损失共计人民币486175.5元。宣判后，同案犯不服，提出上诉。福建省高级人民法院于2014年4月2日作出（2013）闽刑终字第308号刑事判决，维持龙岩市中级人民法院（2012）岩刑初字第45号刑事附带民事判决中对被告人卢锦材的定罪量刑及对犯罪所用财物、违法所得财物的判决。刑期自2012年3月17日起至2027年3月16日止。</w:t>
      </w:r>
      <w:r>
        <w:rPr>
          <w:rFonts w:hint="eastAsia" w:ascii="仿宋_GB2312" w:hAnsi="仿宋" w:cs="仿宋_GB2312"/>
          <w:szCs w:val="32"/>
        </w:rPr>
        <w:t>2014年7月8日交付福建省漳州监狱执行刑罚。</w:t>
      </w:r>
      <w:r>
        <w:rPr>
          <w:rFonts w:hint="eastAsia" w:ascii="仿宋_GB2312"/>
          <w:szCs w:val="32"/>
        </w:rPr>
        <w:t>2016年11月30日，福建省漳州市中级人民法院以（2016）闽06刑更1489号刑事裁定书，</w:t>
      </w:r>
      <w:r>
        <w:rPr>
          <w:rFonts w:hint="eastAsia" w:ascii="仿宋_GB2312" w:hAnsi="仿宋_GB2312" w:cs="仿宋_GB2312"/>
          <w:szCs w:val="32"/>
        </w:rPr>
        <w:t>对其减刑</w:t>
      </w:r>
      <w:r>
        <w:rPr>
          <w:rFonts w:hint="eastAsia" w:ascii="仿宋_GB2312" w:hAnsi="仿宋" w:cs="宋体"/>
          <w:szCs w:val="32"/>
        </w:rPr>
        <w:t>七</w:t>
      </w:r>
      <w:r>
        <w:rPr>
          <w:rFonts w:hint="eastAsia" w:ascii="仿宋_GB2312" w:hAnsi="仿宋_GB2312" w:cs="仿宋_GB2312"/>
          <w:szCs w:val="32"/>
        </w:rPr>
        <w:t>个月；</w:t>
      </w:r>
      <w:r>
        <w:rPr>
          <w:rFonts w:hint="eastAsia" w:ascii="仿宋_GB2312"/>
          <w:szCs w:val="32"/>
        </w:rPr>
        <w:t>2018年9月20日，福建省漳州市中级人民法院以（2018）闽06刑更913号刑事裁定书，</w:t>
      </w:r>
      <w:r>
        <w:rPr>
          <w:rFonts w:hint="eastAsia" w:ascii="仿宋_GB2312" w:hAnsi="仿宋_GB2312" w:cs="仿宋_GB2312"/>
          <w:szCs w:val="32"/>
        </w:rPr>
        <w:t>对其减刑</w:t>
      </w:r>
      <w:r>
        <w:rPr>
          <w:rFonts w:hint="eastAsia" w:ascii="仿宋_GB2312" w:hAnsi="仿宋" w:cs="宋体"/>
          <w:szCs w:val="32"/>
        </w:rPr>
        <w:t>六</w:t>
      </w:r>
      <w:r>
        <w:rPr>
          <w:rFonts w:hint="eastAsia" w:ascii="仿宋_GB2312" w:hAnsi="仿宋_GB2312" w:cs="仿宋_GB2312"/>
          <w:szCs w:val="32"/>
        </w:rPr>
        <w:t>个月；</w:t>
      </w:r>
      <w:r>
        <w:rPr>
          <w:rFonts w:hint="eastAsia" w:ascii="仿宋_GB2312"/>
          <w:szCs w:val="32"/>
        </w:rPr>
        <w:t>2020年11月20日，福建省漳州市中级人民法院以（2020）闽06刑更982号刑事裁定书，</w:t>
      </w:r>
      <w:r>
        <w:rPr>
          <w:rFonts w:hint="eastAsia" w:ascii="仿宋_GB2312" w:hAnsi="仿宋_GB2312" w:cs="仿宋_GB2312"/>
          <w:szCs w:val="32"/>
        </w:rPr>
        <w:t>对其减刑</w:t>
      </w:r>
      <w:r>
        <w:rPr>
          <w:rFonts w:hint="eastAsia" w:ascii="仿宋_GB2312" w:hAnsi="仿宋" w:cs="宋体"/>
          <w:szCs w:val="32"/>
        </w:rPr>
        <w:t>五</w:t>
      </w:r>
      <w:r>
        <w:rPr>
          <w:rFonts w:hint="eastAsia" w:ascii="仿宋_GB2312" w:hAnsi="仿宋_GB2312" w:cs="仿宋_GB2312"/>
          <w:szCs w:val="32"/>
        </w:rPr>
        <w:t>个月；</w:t>
      </w:r>
      <w:r>
        <w:rPr>
          <w:rFonts w:hint="eastAsia" w:ascii="仿宋_GB2312"/>
          <w:szCs w:val="32"/>
        </w:rPr>
        <w:t>2022年10月20日，福建省漳州市中级人民法院以（2022）闽06刑更656号刑事裁定书，</w:t>
      </w:r>
      <w:r>
        <w:rPr>
          <w:rFonts w:hint="eastAsia" w:ascii="仿宋_GB2312" w:hAnsi="仿宋_GB2312" w:cs="仿宋_GB2312"/>
          <w:szCs w:val="32"/>
        </w:rPr>
        <w:t>对其减刑</w:t>
      </w:r>
      <w:r>
        <w:rPr>
          <w:rFonts w:hint="eastAsia" w:ascii="仿宋_GB2312" w:hAnsi="仿宋" w:cs="宋体"/>
          <w:szCs w:val="32"/>
        </w:rPr>
        <w:t>四</w:t>
      </w:r>
      <w:r>
        <w:rPr>
          <w:rFonts w:hint="eastAsia" w:ascii="仿宋_GB2312" w:hAnsi="仿宋_GB2312" w:cs="仿宋_GB2312"/>
          <w:szCs w:val="32"/>
        </w:rPr>
        <w:t>个月，2022年10月27日送达，现刑期至2025年5月16日。</w:t>
      </w:r>
      <w:r>
        <w:rPr>
          <w:rFonts w:hint="eastAsia" w:ascii="仿宋_GB2312" w:hAnsi="Times New Roman"/>
          <w:szCs w:val="32"/>
        </w:rPr>
        <w:t>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rPr>
        <w:t>上次</w:t>
      </w:r>
      <w:r>
        <w:rPr>
          <w:rFonts w:hint="eastAsia" w:ascii="仿宋_GB2312" w:hAnsi="宋体"/>
          <w:iCs/>
          <w:kern w:val="0"/>
          <w:szCs w:val="32"/>
          <w:lang w:val="zh-CN"/>
        </w:rPr>
        <w:t>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10"/>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430" w:lineRule="exact"/>
        <w:ind w:firstLine="640"/>
        <w:rPr>
          <w:rFonts w:ascii="仿宋_GB2312" w:hAnsi="仿宋" w:cs="宋体"/>
          <w:color w:val="FF0000"/>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r>
        <w:rPr>
          <w:rFonts w:hint="eastAsia" w:ascii="仿宋_GB2312"/>
          <w:szCs w:val="32"/>
        </w:rPr>
        <w:t>。</w:t>
      </w:r>
    </w:p>
    <w:p>
      <w:pPr>
        <w:pStyle w:val="10"/>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430" w:lineRule="exact"/>
        <w:ind w:firstLine="640"/>
        <w:rPr>
          <w:rFonts w:ascii="仿宋_GB2312"/>
          <w:color w:val="FF0000"/>
          <w:szCs w:val="32"/>
        </w:rPr>
      </w:pPr>
      <w:r>
        <w:rPr>
          <w:rFonts w:hint="eastAsia" w:ascii="仿宋_GB2312" w:hAnsi="仿宋" w:cs="宋体"/>
          <w:szCs w:val="32"/>
          <w:lang w:val="zh-CN"/>
        </w:rPr>
        <w:t>奖惩情况：</w:t>
      </w:r>
      <w:r>
        <w:rPr>
          <w:rFonts w:hint="eastAsia" w:ascii="仿宋_GB2312" w:hAnsi="仿宋_GB2312" w:cs="仿宋_GB2312"/>
          <w:bCs/>
          <w:szCs w:val="32"/>
        </w:rPr>
        <w:t>该犯上次评定表扬剩余考核分46分，本轮考核期2022年8月至2024年7月累计获考核分2961分，合计获得考核分3007分，表扬5次；间隔期2022年10月27日至2024年7月，获考核分2614分。考核期内无违规扣分。</w:t>
      </w:r>
    </w:p>
    <w:p>
      <w:pPr>
        <w:pStyle w:val="10"/>
        <w:spacing w:line="430" w:lineRule="exact"/>
        <w:ind w:firstLine="640"/>
        <w:rPr>
          <w:szCs w:val="32"/>
        </w:rPr>
      </w:pPr>
      <w:r>
        <w:rPr>
          <w:rFonts w:hint="eastAsia"/>
          <w:szCs w:val="32"/>
        </w:rPr>
        <w:t>原判财产性判项追缴违法所得人民币5000元，已履行完毕；连带赔偿人民币486175.5元，已履行人民币194171元（判决时履行人民币140000元），其中本次提请向福建省龙岩市永定区人民法院缴纳连带赔偿人民币1571元，</w:t>
      </w:r>
      <w:r>
        <w:rPr>
          <w:rFonts w:hint="eastAsia" w:ascii="仿宋_GB2312"/>
          <w:szCs w:val="32"/>
        </w:rPr>
        <w:t>服刑期间财产刑履行比例16.85%。该犯考核期月均消费人民币269.91元（注：不包括购买药品、报刊书籍等费用），账户可用余额人民币651.17元。2024年8月5日福建省龙岩市永定区人民法院财产性判项复函载明：暂未发现有其他可供执行的财产。</w:t>
      </w:r>
    </w:p>
    <w:p>
      <w:pPr>
        <w:spacing w:line="430" w:lineRule="exact"/>
        <w:ind w:firstLine="640" w:firstLineChars="200"/>
        <w:rPr>
          <w:rFonts w:ascii="仿宋_GB2312" w:cs="仿宋_GB2312"/>
          <w:szCs w:val="32"/>
        </w:rPr>
      </w:pPr>
      <w:r>
        <w:rPr>
          <w:rFonts w:hint="eastAsia" w:ascii="仿宋_GB2312" w:cs="仿宋_GB2312"/>
          <w:szCs w:val="32"/>
        </w:rPr>
        <w:t>该犯财产性判项义务履行金额未达到其个人应履行总额</w:t>
      </w:r>
      <w:r>
        <w:rPr>
          <w:rFonts w:hint="eastAsia" w:cs="仿宋_GB2312"/>
          <w:szCs w:val="32"/>
        </w:rPr>
        <w:t>30</w:t>
      </w:r>
      <w:r>
        <w:rPr>
          <w:rFonts w:hint="eastAsia" w:ascii="仿宋_GB2312" w:cs="仿宋_GB2312"/>
          <w:szCs w:val="32"/>
        </w:rPr>
        <w:t>%，因此提请减刑幅度扣减三个月。</w:t>
      </w:r>
    </w:p>
    <w:p>
      <w:pPr>
        <w:spacing w:line="430" w:lineRule="exact"/>
        <w:ind w:firstLine="640" w:firstLineChars="200"/>
        <w:rPr>
          <w:szCs w:val="32"/>
        </w:rPr>
      </w:pPr>
      <w:r>
        <w:rPr>
          <w:rFonts w:hint="eastAsia" w:ascii="仿宋_GB2312"/>
          <w:szCs w:val="32"/>
        </w:rPr>
        <w:t>本案于2024年10月16日至2024年10月22日在狱内公示未收到不同意见。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卢锦材予以减刑五个月。特提请你院审理裁定。</w:t>
      </w:r>
    </w:p>
    <w:p>
      <w:pPr>
        <w:pStyle w:val="2"/>
        <w:spacing w:line="430" w:lineRule="exact"/>
        <w:ind w:right="-48" w:rightChars="-15" w:firstLine="640" w:firstLineChars="200"/>
        <w:rPr>
          <w:szCs w:val="32"/>
        </w:rPr>
      </w:pPr>
      <w:r>
        <w:rPr>
          <w:rFonts w:hint="eastAsia"/>
          <w:szCs w:val="32"/>
        </w:rPr>
        <w:t>此致</w:t>
      </w:r>
    </w:p>
    <w:p>
      <w:pPr>
        <w:spacing w:line="500" w:lineRule="exact"/>
        <w:ind w:right="-48" w:rightChars="-15"/>
        <w:rPr>
          <w:rFonts w:ascii="仿宋_GB2312" w:hAnsi="Times New Roman"/>
          <w:szCs w:val="32"/>
        </w:rPr>
      </w:pPr>
      <w:r>
        <w:rPr>
          <w:rFonts w:hint="eastAsia" w:ascii="仿宋_GB2312" w:hAnsi="Times New Roman"/>
          <w:szCs w:val="32"/>
        </w:rPr>
        <w:t>福建省漳州市中级人民法院</w:t>
      </w:r>
    </w:p>
    <w:p>
      <w:pPr>
        <w:spacing w:line="500" w:lineRule="exact"/>
        <w:ind w:firstLine="640" w:firstLineChars="200"/>
        <w:rPr>
          <w:rFonts w:ascii="仿宋_GB2312" w:hAnsi="Times New Roman" w:cs="仿宋_GB2312"/>
          <w:szCs w:val="32"/>
        </w:rPr>
      </w:pPr>
      <w:r>
        <w:rPr>
          <w:rFonts w:hint="eastAsia" w:ascii="仿宋_GB2312" w:hAnsi="Times New Roman" w:cs="仿宋_GB2312"/>
          <w:szCs w:val="32"/>
        </w:rPr>
        <w:t>附件：⒈罪犯卢锦材卷宗二册</w:t>
      </w:r>
    </w:p>
    <w:p>
      <w:pPr>
        <w:spacing w:line="500" w:lineRule="exact"/>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⒉减刑建议书二份</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福建省漳州监狱</w:t>
      </w:r>
    </w:p>
    <w:p>
      <w:r>
        <w:rPr>
          <w:rFonts w:hint="eastAsia" w:ascii="仿宋_GB2312" w:hAnsi="Times New Roman"/>
          <w:szCs w:val="32"/>
        </w:rPr>
        <w:t xml:space="preserve">                             2024年10月28日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176A3"/>
    <w:rsid w:val="00380CF0"/>
    <w:rsid w:val="00453807"/>
    <w:rsid w:val="008176A3"/>
    <w:rsid w:val="3ACF3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称呼 Char"/>
    <w:basedOn w:val="6"/>
    <w:link w:val="2"/>
    <w:qFormat/>
    <w:uiPriority w:val="99"/>
    <w:rPr>
      <w:rFonts w:ascii="Calibri" w:hAnsi="Calibri" w:eastAsia="仿宋_GB2312" w:cs="Times New Roman"/>
      <w:kern w:val="32"/>
      <w:sz w:val="32"/>
      <w:szCs w:val="20"/>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213</Words>
  <Characters>1219</Characters>
  <Lines>10</Lines>
  <Paragraphs>2</Paragraphs>
  <TotalTime>6</TotalTime>
  <ScaleCrop>false</ScaleCrop>
  <LinksUpToDate>false</LinksUpToDate>
  <CharactersWithSpaces>1430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2024-10-17T01:00:00Z</dcterms:created>
  <dc:creator>张化军</dc:creator>
  <cp:lastModifiedBy>Administrator</cp:lastModifiedBy>
  <dcterms:modified xsi:type="dcterms:W3CDTF">2024-10-31T09:13:03Z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AEA15CBBBDA046598845B00143ABB96E</vt:lpwstr>
  </property>
</Properties>
</file>