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val="0"/>
        <w:kinsoku/>
        <w:wordWrap/>
        <w:overflowPunct/>
        <w:topLinePunct w:val="0"/>
        <w:autoSpaceDE/>
        <w:autoSpaceDN/>
        <w:bidi w:val="0"/>
        <w:adjustRightInd/>
        <w:spacing w:before="157" w:beforeLines="50" w:line="430" w:lineRule="exact"/>
        <w:ind w:left="0" w:leftChars="0" w:firstLine="0" w:firstLineChars="0"/>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w:t>
      </w:r>
      <w:r>
        <w:rPr>
          <w:rFonts w:hint="eastAsia" w:ascii="方正小标宋简体" w:hAnsi="方正小标宋简体" w:eastAsia="方正小标宋简体" w:cs="方正小标宋简体"/>
          <w:color w:val="auto"/>
          <w:sz w:val="44"/>
          <w:szCs w:val="44"/>
          <w:lang w:eastAsia="zh-CN"/>
        </w:rPr>
        <w:t>漳州</w:t>
      </w:r>
      <w:r>
        <w:rPr>
          <w:rFonts w:hint="eastAsia" w:ascii="方正小标宋简体" w:hAnsi="方正小标宋简体" w:eastAsia="方正小标宋简体" w:cs="方正小标宋简体"/>
          <w:color w:val="auto"/>
          <w:sz w:val="44"/>
          <w:szCs w:val="44"/>
        </w:rPr>
        <w:t>监狱</w:t>
      </w:r>
    </w:p>
    <w:p>
      <w:pPr>
        <w:keepNext w:val="0"/>
        <w:keepLines w:val="0"/>
        <w:pageBreakBefore w:val="0"/>
        <w:widowControl w:val="0"/>
        <w:kinsoku/>
        <w:wordWrap/>
        <w:overflowPunct/>
        <w:topLinePunct w:val="0"/>
        <w:autoSpaceDE/>
        <w:autoSpaceDN/>
        <w:bidi w:val="0"/>
        <w:adjustRightInd/>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提请减刑建议书</w:t>
      </w:r>
    </w:p>
    <w:p>
      <w:pPr>
        <w:pStyle w:val="11"/>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eastAsia="楷体_GB2312" w:cs="楷体_GB2312"/>
          <w:color w:val="auto"/>
          <w:szCs w:val="32"/>
        </w:rPr>
      </w:pPr>
      <w:r>
        <w:rPr>
          <w:rFonts w:hint="eastAsia" w:eastAsia="楷体_GB2312" w:cs="楷体_GB2312"/>
          <w:color w:val="auto"/>
          <w:szCs w:val="32"/>
        </w:rPr>
        <w:t>〔</w:t>
      </w:r>
      <w:r>
        <w:rPr>
          <w:rFonts w:ascii="Times New Roman" w:hAnsi="Times New Roman" w:eastAsia="楷体_GB2312" w:cs="楷体_GB2312"/>
          <w:color w:val="auto"/>
          <w:szCs w:val="32"/>
        </w:rPr>
        <w:t>20</w:t>
      </w:r>
      <w:r>
        <w:rPr>
          <w:rFonts w:hint="eastAsia" w:eastAsia="楷体_GB2312"/>
          <w:color w:val="auto"/>
          <w:szCs w:val="32"/>
          <w:lang w:val="en-US" w:eastAsia="zh-CN"/>
        </w:rPr>
        <w:t>24</w:t>
      </w:r>
      <w:r>
        <w:rPr>
          <w:rFonts w:hint="eastAsia" w:eastAsia="楷体_GB2312" w:cs="楷体_GB2312"/>
          <w:color w:val="auto"/>
          <w:szCs w:val="32"/>
        </w:rPr>
        <w:t>〕闽</w:t>
      </w:r>
      <w:r>
        <w:rPr>
          <w:rFonts w:hint="eastAsia" w:eastAsia="楷体_GB2312" w:cs="楷体_GB2312"/>
          <w:color w:val="auto"/>
          <w:szCs w:val="32"/>
          <w:lang w:eastAsia="zh-CN"/>
        </w:rPr>
        <w:t>漳</w:t>
      </w:r>
      <w:r>
        <w:rPr>
          <w:rFonts w:hint="eastAsia" w:eastAsia="楷体_GB2312" w:cs="楷体_GB2312"/>
          <w:color w:val="auto"/>
          <w:szCs w:val="32"/>
        </w:rPr>
        <w:t>狱减字第</w:t>
      </w:r>
      <w:r>
        <w:rPr>
          <w:rFonts w:hint="eastAsia" w:eastAsia="楷体_GB2312" w:cs="楷体_GB2312"/>
          <w:color w:val="auto"/>
          <w:szCs w:val="32"/>
          <w:lang w:val="en-US" w:eastAsia="zh-CN"/>
        </w:rPr>
        <w:t>533</w:t>
      </w:r>
      <w:r>
        <w:rPr>
          <w:rFonts w:hint="eastAsia" w:eastAsia="楷体_GB2312" w:cs="楷体_GB2312"/>
          <w:color w:val="auto"/>
          <w:szCs w:val="32"/>
        </w:rPr>
        <w:t>号</w:t>
      </w:r>
    </w:p>
    <w:p>
      <w:pPr>
        <w:pStyle w:val="11"/>
        <w:keepNext w:val="0"/>
        <w:keepLines w:val="0"/>
        <w:pageBreakBefore w:val="0"/>
        <w:widowControl w:val="0"/>
        <w:kinsoku/>
        <w:wordWrap/>
        <w:overflowPunct/>
        <w:topLinePunct w:val="0"/>
        <w:bidi w:val="0"/>
        <w:spacing w:line="430" w:lineRule="exact"/>
        <w:ind w:left="640" w:right="-48" w:rightChars="-15" w:firstLine="0" w:firstLineChars="0"/>
        <w:jc w:val="both"/>
        <w:textAlignment w:val="auto"/>
        <w:rPr>
          <w:rFonts w:ascii="仿宋_GB2312"/>
          <w:b/>
          <w:bCs/>
          <w:color w:val="auto"/>
          <w:sz w:val="28"/>
        </w:rPr>
      </w:pP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罪犯</w:t>
      </w:r>
      <w:r>
        <w:rPr>
          <w:rFonts w:hint="eastAsia" w:ascii="仿宋_GB2312" w:hAnsi="仿宋_GB2312" w:cs="仿宋_GB2312"/>
          <w:color w:val="auto"/>
          <w:szCs w:val="32"/>
          <w:lang w:eastAsia="zh-CN"/>
        </w:rPr>
        <w:t>吴才兴</w:t>
      </w:r>
      <w:r>
        <w:rPr>
          <w:rFonts w:hint="eastAsia" w:ascii="仿宋_GB2312" w:hAnsi="仿宋_GB2312" w:eastAsia="仿宋_GB2312" w:cs="仿宋_GB2312"/>
          <w:color w:val="auto"/>
          <w:szCs w:val="32"/>
        </w:rPr>
        <w:fldChar w:fldCharType="begin"/>
      </w:r>
      <w:r>
        <w:rPr>
          <w:rFonts w:hint="eastAsia" w:ascii="仿宋_GB2312" w:hAnsi="仿宋_GB2312" w:eastAsia="仿宋_GB2312" w:cs="仿宋_GB2312"/>
          <w:color w:val="auto"/>
          <w:szCs w:val="32"/>
        </w:rPr>
        <w:instrText xml:space="preserve"> AUTOTEXTLIST  \* MERGEFORMAT </w:instrText>
      </w:r>
      <w:r>
        <w:rPr>
          <w:rFonts w:hint="eastAsia" w:ascii="仿宋_GB2312" w:hAnsi="仿宋_GB2312" w:eastAsia="仿宋_GB2312" w:cs="仿宋_GB2312"/>
          <w:color w:val="auto"/>
          <w:szCs w:val="32"/>
        </w:rPr>
        <w:fldChar w:fldCharType="end"/>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男</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val="en-US" w:eastAsia="zh-CN"/>
        </w:rPr>
        <w:t>1977</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21</w:t>
      </w:r>
      <w:r>
        <w:rPr>
          <w:rFonts w:hint="eastAsia" w:ascii="仿宋_GB2312" w:hAnsi="仿宋_GB2312" w:eastAsia="仿宋_GB2312" w:cs="仿宋_GB2312"/>
          <w:color w:val="auto"/>
          <w:szCs w:val="32"/>
        </w:rPr>
        <w:t>日出生，</w:t>
      </w:r>
      <w:r>
        <w:rPr>
          <w:rFonts w:hint="eastAsia" w:ascii="仿宋_GB2312" w:hAnsi="仿宋_GB2312" w:cs="仿宋_GB2312"/>
          <w:color w:val="auto"/>
          <w:szCs w:val="32"/>
          <w:lang w:eastAsia="zh-CN"/>
        </w:rPr>
        <w:t>汉</w:t>
      </w:r>
      <w:r>
        <w:rPr>
          <w:rFonts w:hint="eastAsia" w:ascii="仿宋_GB2312" w:hAnsi="仿宋_GB2312" w:eastAsia="仿宋_GB2312" w:cs="仿宋_GB2312"/>
          <w:color w:val="auto"/>
          <w:szCs w:val="32"/>
        </w:rPr>
        <w:t>族，</w:t>
      </w:r>
      <w:r>
        <w:rPr>
          <w:rFonts w:hint="eastAsia" w:ascii="仿宋_GB2312" w:hAnsi="仿宋_GB2312" w:cs="仿宋_GB2312"/>
          <w:color w:val="auto"/>
          <w:szCs w:val="32"/>
          <w:lang w:val="en-US" w:eastAsia="zh-CN"/>
        </w:rPr>
        <w:t>初中文化</w:t>
      </w:r>
      <w:r>
        <w:rPr>
          <w:rFonts w:hint="eastAsia" w:ascii="仿宋_GB2312" w:hAnsi="仿宋_GB2312" w:eastAsia="仿宋_GB2312" w:cs="仿宋_GB2312"/>
          <w:color w:val="auto"/>
          <w:szCs w:val="32"/>
          <w:lang w:val="en-US" w:eastAsia="zh-CN"/>
        </w:rPr>
        <w:t>，</w:t>
      </w:r>
      <w:r>
        <w:rPr>
          <w:rFonts w:hint="eastAsia" w:ascii="仿宋_GB2312" w:hAnsi="仿宋_GB2312" w:eastAsia="仿宋_GB2312" w:cs="仿宋_GB2312"/>
          <w:color w:val="auto"/>
          <w:szCs w:val="32"/>
        </w:rPr>
        <w:t>户籍所在地福建省安溪县</w:t>
      </w:r>
      <w:bookmarkStart w:id="0" w:name="_GoBack"/>
      <w:bookmarkEnd w:id="0"/>
      <w:r>
        <w:rPr>
          <w:rFonts w:hint="eastAsia" w:ascii="仿宋_GB2312" w:hAnsi="仿宋_GB2312" w:eastAsia="仿宋_GB2312" w:cs="仿宋_GB2312"/>
          <w:color w:val="auto"/>
          <w:szCs w:val="32"/>
        </w:rPr>
        <w:t>，捕前系</w:t>
      </w:r>
      <w:r>
        <w:rPr>
          <w:rFonts w:hint="eastAsia" w:ascii="仿宋_GB2312" w:hAnsi="仿宋_GB2312" w:cs="仿宋_GB2312"/>
          <w:color w:val="auto"/>
          <w:szCs w:val="32"/>
          <w:lang w:eastAsia="zh-CN"/>
        </w:rPr>
        <w:t>务工</w:t>
      </w:r>
      <w:r>
        <w:rPr>
          <w:rFonts w:hint="eastAsia" w:ascii="仿宋_GB2312" w:hAnsi="仿宋_GB2312" w:eastAsia="仿宋_GB2312" w:cs="仿宋_GB2312"/>
          <w:color w:val="auto"/>
          <w:szCs w:val="32"/>
        </w:rPr>
        <w:t>。</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福建省安溪县</w:t>
      </w:r>
      <w:r>
        <w:rPr>
          <w:rFonts w:hint="eastAsia" w:ascii="仿宋_GB2312" w:hAnsi="仿宋_GB2312" w:eastAsia="仿宋_GB2312" w:cs="仿宋_GB2312"/>
          <w:color w:val="auto"/>
          <w:szCs w:val="32"/>
        </w:rPr>
        <w:t>人民法院于</w:t>
      </w:r>
      <w:r>
        <w:rPr>
          <w:rFonts w:hint="eastAsia" w:ascii="仿宋_GB2312" w:hAnsi="仿宋_GB2312" w:cs="仿宋_GB2312"/>
          <w:color w:val="auto"/>
          <w:szCs w:val="32"/>
          <w:lang w:val="en-US" w:eastAsia="zh-CN"/>
        </w:rPr>
        <w:t>2023</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12</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2022</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闽</w:t>
      </w:r>
      <w:r>
        <w:rPr>
          <w:rFonts w:hint="eastAsia" w:ascii="仿宋_GB2312" w:hAnsi="仿宋_GB2312" w:cs="仿宋_GB2312"/>
          <w:color w:val="auto"/>
          <w:szCs w:val="32"/>
          <w:lang w:val="en-US" w:eastAsia="zh-CN"/>
        </w:rPr>
        <w:t>0524刑初1184</w:t>
      </w:r>
      <w:r>
        <w:rPr>
          <w:rFonts w:hint="eastAsia" w:ascii="仿宋_GB2312" w:hAnsi="仿宋_GB2312" w:eastAsia="仿宋_GB2312" w:cs="仿宋_GB2312"/>
          <w:color w:val="auto"/>
          <w:szCs w:val="32"/>
        </w:rPr>
        <w:t>号刑事判决，以被告人</w:t>
      </w:r>
      <w:r>
        <w:rPr>
          <w:rFonts w:hint="eastAsia" w:ascii="仿宋_GB2312" w:hAnsi="仿宋_GB2312" w:cs="仿宋_GB2312"/>
          <w:color w:val="auto"/>
          <w:szCs w:val="32"/>
          <w:lang w:eastAsia="zh-CN"/>
        </w:rPr>
        <w:t>吴才兴</w:t>
      </w:r>
      <w:r>
        <w:rPr>
          <w:rFonts w:hint="eastAsia" w:ascii="仿宋_GB2312" w:hAnsi="仿宋_GB2312" w:eastAsia="仿宋_GB2312" w:cs="仿宋_GB2312"/>
          <w:color w:val="auto"/>
          <w:szCs w:val="32"/>
        </w:rPr>
        <w:t>犯</w:t>
      </w:r>
      <w:r>
        <w:rPr>
          <w:rFonts w:hint="eastAsia" w:ascii="仿宋_GB2312" w:hAnsi="仿宋_GB2312" w:cs="仿宋_GB2312"/>
          <w:color w:val="auto"/>
          <w:szCs w:val="32"/>
          <w:lang w:eastAsia="zh-CN"/>
        </w:rPr>
        <w:t>诈骗</w:t>
      </w:r>
      <w:r>
        <w:rPr>
          <w:rFonts w:hint="eastAsia" w:ascii="仿宋_GB2312" w:hAnsi="仿宋_GB2312" w:eastAsia="仿宋_GB2312" w:cs="仿宋_GB2312"/>
          <w:color w:val="auto"/>
          <w:szCs w:val="32"/>
        </w:rPr>
        <w:t>罪，判处有期徒刑</w:t>
      </w:r>
      <w:r>
        <w:rPr>
          <w:rFonts w:hint="eastAsia" w:ascii="仿宋_GB2312" w:hAnsi="仿宋_GB2312" w:cs="仿宋_GB2312"/>
          <w:color w:val="auto"/>
          <w:szCs w:val="32"/>
          <w:lang w:eastAsia="zh-CN"/>
        </w:rPr>
        <w:t>二年八个月</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并处</w:t>
      </w:r>
      <w:r>
        <w:rPr>
          <w:rFonts w:hint="eastAsia" w:ascii="仿宋_GB2312" w:hAnsi="仿宋_GB2312" w:eastAsia="仿宋_GB2312" w:cs="仿宋_GB2312"/>
          <w:color w:val="auto"/>
          <w:szCs w:val="32"/>
        </w:rPr>
        <w:t>罚金人民币</w:t>
      </w:r>
      <w:r>
        <w:rPr>
          <w:rFonts w:hint="eastAsia" w:ascii="仿宋_GB2312" w:hAnsi="仿宋_GB2312" w:cs="仿宋_GB2312"/>
          <w:color w:val="auto"/>
          <w:szCs w:val="32"/>
          <w:lang w:val="en-US" w:eastAsia="zh-CN"/>
        </w:rPr>
        <w:t>30000元，追缴共同违法所得人民币256740元</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宣判后，同案犯不服，提出上诉。福建省泉州市中级人民法院于</w:t>
      </w:r>
      <w:r>
        <w:rPr>
          <w:rFonts w:hint="eastAsia" w:ascii="仿宋_GB2312" w:hAnsi="仿宋_GB2312" w:cs="仿宋_GB2312"/>
          <w:color w:val="auto"/>
          <w:szCs w:val="32"/>
          <w:lang w:val="en-US" w:eastAsia="zh-CN"/>
        </w:rPr>
        <w:t>2023年6月29日</w:t>
      </w:r>
      <w:r>
        <w:rPr>
          <w:rFonts w:hint="eastAsia" w:ascii="仿宋_GB2312" w:hAnsi="仿宋_GB2312" w:cs="仿宋_GB2312"/>
          <w:color w:val="auto"/>
          <w:szCs w:val="32"/>
          <w:lang w:eastAsia="zh-CN"/>
        </w:rPr>
        <w:t>作出（</w:t>
      </w:r>
      <w:r>
        <w:rPr>
          <w:rFonts w:hint="eastAsia" w:ascii="仿宋_GB2312" w:hAnsi="仿宋_GB2312" w:cs="仿宋_GB2312"/>
          <w:color w:val="auto"/>
          <w:szCs w:val="32"/>
          <w:lang w:val="en-US" w:eastAsia="zh-CN"/>
        </w:rPr>
        <w:t>2023</w:t>
      </w:r>
      <w:r>
        <w:rPr>
          <w:rFonts w:hint="eastAsia" w:ascii="仿宋_GB2312" w:hAnsi="仿宋_GB2312" w:cs="仿宋_GB2312"/>
          <w:color w:val="auto"/>
          <w:szCs w:val="32"/>
          <w:lang w:eastAsia="zh-CN"/>
        </w:rPr>
        <w:t>）闽</w:t>
      </w:r>
      <w:r>
        <w:rPr>
          <w:rFonts w:hint="eastAsia" w:ascii="仿宋_GB2312" w:hAnsi="仿宋_GB2312" w:cs="仿宋_GB2312"/>
          <w:color w:val="auto"/>
          <w:szCs w:val="32"/>
          <w:lang w:val="en-US" w:eastAsia="zh-CN"/>
        </w:rPr>
        <w:t>05刑终738号刑事判决，维持福建省安溪县人民法院（2022）闽0524刑初1184号刑事判决中对该犯的定罪量刑，撤销福建省安溪县人民法院（2022）闽0524刑初1184号刑事判决中追缴违法所得的判决</w:t>
      </w:r>
      <w:r>
        <w:rPr>
          <w:rFonts w:hint="eastAsia" w:ascii="仿宋_GB2312" w:hAnsi="仿宋_GB2312" w:eastAsia="仿宋_GB2312" w:cs="仿宋_GB2312"/>
          <w:color w:val="auto"/>
          <w:szCs w:val="32"/>
        </w:rPr>
        <w:t>。刑期自</w:t>
      </w:r>
      <w:r>
        <w:rPr>
          <w:rFonts w:hint="eastAsia" w:ascii="仿宋_GB2312" w:hAnsi="仿宋_GB2312" w:cs="仿宋_GB2312"/>
          <w:color w:val="auto"/>
          <w:szCs w:val="32"/>
          <w:lang w:val="en-US" w:eastAsia="zh-CN"/>
        </w:rPr>
        <w:t>2022</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16</w:t>
      </w:r>
      <w:r>
        <w:rPr>
          <w:rFonts w:hint="eastAsia" w:ascii="仿宋_GB2312" w:hAnsi="仿宋_GB2312" w:eastAsia="仿宋_GB2312" w:cs="仿宋_GB2312"/>
          <w:color w:val="auto"/>
          <w:szCs w:val="32"/>
        </w:rPr>
        <w:t>日起至</w:t>
      </w: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15</w:t>
      </w:r>
      <w:r>
        <w:rPr>
          <w:rFonts w:hint="eastAsia" w:ascii="仿宋_GB2312" w:hAnsi="仿宋_GB2312" w:eastAsia="仿宋_GB2312" w:cs="仿宋_GB2312"/>
          <w:color w:val="auto"/>
          <w:szCs w:val="32"/>
        </w:rPr>
        <w:t>日止。</w:t>
      </w:r>
      <w:r>
        <w:rPr>
          <w:rFonts w:hint="eastAsia" w:ascii="仿宋_GB2312" w:hAnsi="仿宋_GB2312" w:cs="仿宋_GB2312"/>
          <w:color w:val="auto"/>
          <w:szCs w:val="32"/>
          <w:lang w:val="en-US" w:eastAsia="zh-CN"/>
        </w:rPr>
        <w:t>2023</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日交付福建省</w:t>
      </w:r>
      <w:r>
        <w:rPr>
          <w:rFonts w:hint="eastAsia" w:ascii="仿宋_GB2312" w:hAnsi="仿宋_GB2312" w:cs="仿宋_GB2312"/>
          <w:color w:val="auto"/>
          <w:szCs w:val="32"/>
          <w:lang w:eastAsia="zh-CN"/>
        </w:rPr>
        <w:t>漳州</w:t>
      </w:r>
      <w:r>
        <w:rPr>
          <w:rFonts w:hint="eastAsia" w:ascii="仿宋_GB2312" w:hAnsi="仿宋_GB2312" w:eastAsia="仿宋_GB2312" w:cs="仿宋_GB2312"/>
          <w:color w:val="auto"/>
          <w:szCs w:val="32"/>
        </w:rPr>
        <w:t>监狱执行刑罚。属</w:t>
      </w:r>
      <w:r>
        <w:rPr>
          <w:rFonts w:hint="eastAsia" w:ascii="仿宋_GB2312" w:hAnsi="仿宋_GB2312" w:cs="仿宋_GB2312"/>
          <w:color w:val="auto"/>
          <w:szCs w:val="32"/>
          <w:lang w:eastAsia="zh-CN"/>
        </w:rPr>
        <w:t>普管</w:t>
      </w:r>
      <w:r>
        <w:rPr>
          <w:rFonts w:hint="eastAsia" w:ascii="仿宋_GB2312" w:hAnsi="仿宋_GB2312" w:eastAsia="仿宋_GB2312" w:cs="仿宋_GB2312"/>
          <w:color w:val="auto"/>
          <w:szCs w:val="32"/>
        </w:rPr>
        <w:t>级罪犯。</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该犯</w:t>
      </w:r>
      <w:r>
        <w:rPr>
          <w:rFonts w:hint="eastAsia" w:ascii="仿宋_GB2312" w:hAnsi="仿宋_GB2312" w:eastAsia="仿宋_GB2312" w:cs="仿宋_GB2312"/>
          <w:color w:val="auto"/>
          <w:szCs w:val="32"/>
          <w:lang w:val="zh-CN"/>
        </w:rPr>
        <w:t>自入监以来</w:t>
      </w:r>
      <w:r>
        <w:rPr>
          <w:rFonts w:hint="eastAsia" w:ascii="仿宋_GB2312" w:hAnsi="仿宋_GB2312" w:eastAsia="仿宋_GB2312" w:cs="仿宋_GB2312"/>
          <w:color w:val="auto"/>
          <w:szCs w:val="32"/>
        </w:rPr>
        <w:t>确有悔改表现，具体事实如下：</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认罪悔罪：</w:t>
      </w:r>
      <w:r>
        <w:rPr>
          <w:rFonts w:hint="eastAsia" w:ascii="仿宋_GB2312" w:hAnsi="仿宋_GB2312" w:eastAsia="仿宋_GB2312" w:cs="仿宋_GB2312"/>
          <w:color w:val="auto"/>
          <w:szCs w:val="32"/>
          <w:lang w:val="en-US" w:eastAsia="zh-CN"/>
        </w:rPr>
        <w:t>能服从法院判决，自书认罪悔罪书</w:t>
      </w:r>
      <w:r>
        <w:rPr>
          <w:rFonts w:hint="eastAsia" w:ascii="仿宋_GB2312" w:hAnsi="仿宋_GB2312" w:eastAsia="仿宋_GB2312" w:cs="仿宋_GB2312"/>
          <w:color w:val="auto"/>
          <w:szCs w:val="32"/>
        </w:rPr>
        <w:t>。</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rPr>
        <w:t>遵守监规</w:t>
      </w:r>
      <w:r>
        <w:rPr>
          <w:rFonts w:hint="eastAsia" w:ascii="仿宋_GB2312" w:hAnsi="仿宋_GB2312" w:eastAsia="仿宋_GB2312" w:cs="仿宋_GB2312"/>
          <w:color w:val="auto"/>
          <w:szCs w:val="32"/>
          <w:lang w:val="zh-CN"/>
        </w:rPr>
        <w:t>：能遵守法律法规及监规纪律，接受教育改造。</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学习情况：能参加</w:t>
      </w:r>
      <w:r>
        <w:rPr>
          <w:rFonts w:hint="eastAsia" w:ascii="仿宋_GB2312" w:hAnsi="仿宋_GB2312" w:eastAsia="仿宋_GB2312" w:cs="仿宋_GB2312"/>
          <w:color w:val="auto"/>
          <w:szCs w:val="32"/>
        </w:rPr>
        <w:t>思想、文化、职业技术</w:t>
      </w:r>
      <w:r>
        <w:rPr>
          <w:rFonts w:hint="eastAsia" w:ascii="仿宋_GB2312" w:hAnsi="仿宋_GB2312" w:eastAsia="仿宋_GB2312" w:cs="仿宋_GB2312"/>
          <w:color w:val="auto"/>
          <w:szCs w:val="32"/>
          <w:lang w:val="en-US" w:eastAsia="zh-CN"/>
        </w:rPr>
        <w:t>教育</w:t>
      </w:r>
      <w:r>
        <w:rPr>
          <w:rFonts w:hint="eastAsia" w:ascii="仿宋_GB2312" w:hAnsi="仿宋_GB2312" w:eastAsia="仿宋_GB2312" w:cs="仿宋_GB2312"/>
          <w:color w:val="auto"/>
          <w:szCs w:val="32"/>
          <w:lang w:val="zh-CN"/>
        </w:rPr>
        <w:t>。</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劳动改造：能参加劳动，努力完成</w:t>
      </w:r>
      <w:r>
        <w:rPr>
          <w:rFonts w:hint="eastAsia" w:ascii="仿宋_GB2312" w:hAnsi="仿宋_GB2312" w:eastAsia="仿宋_GB2312" w:cs="仿宋_GB2312"/>
          <w:color w:val="auto"/>
          <w:szCs w:val="32"/>
          <w:lang w:val="en-US" w:eastAsia="zh-CN"/>
        </w:rPr>
        <w:t>劳动</w:t>
      </w:r>
      <w:r>
        <w:rPr>
          <w:rFonts w:hint="eastAsia" w:ascii="仿宋_GB2312" w:hAnsi="仿宋_GB2312" w:eastAsia="仿宋_GB2312" w:cs="仿宋_GB2312"/>
          <w:color w:val="auto"/>
          <w:szCs w:val="32"/>
          <w:lang w:val="zh-CN"/>
        </w:rPr>
        <w:t>任务。</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lang w:val="en-US" w:eastAsia="zh-CN"/>
        </w:rPr>
      </w:pPr>
      <w:r>
        <w:rPr>
          <w:rFonts w:hint="eastAsia" w:ascii="仿宋_GB2312" w:hAnsi="仿宋_GB2312" w:eastAsia="仿宋_GB2312" w:cs="仿宋_GB2312"/>
          <w:color w:val="auto"/>
          <w:szCs w:val="32"/>
          <w:lang w:val="zh-CN" w:eastAsia="zh-CN"/>
        </w:rPr>
        <w:t>奖惩情况：</w:t>
      </w:r>
      <w:r>
        <w:rPr>
          <w:rFonts w:hint="eastAsia" w:ascii="仿宋_GB2312" w:hAnsi="仿宋_GB2312" w:eastAsia="仿宋_GB2312" w:cs="仿宋_GB2312"/>
          <w:color w:val="auto"/>
          <w:szCs w:val="32"/>
          <w:lang w:val="en-US" w:eastAsia="zh-CN"/>
        </w:rPr>
        <w:t>该犯考核期</w:t>
      </w:r>
      <w:r>
        <w:rPr>
          <w:rFonts w:hint="eastAsia" w:ascii="仿宋_GB2312" w:hAnsi="仿宋_GB2312" w:cs="仿宋_GB2312"/>
          <w:color w:val="auto"/>
          <w:szCs w:val="32"/>
          <w:lang w:val="en-US" w:eastAsia="zh-CN"/>
        </w:rPr>
        <w:t>2023</w:t>
      </w:r>
      <w:r>
        <w:rPr>
          <w:rFonts w:hint="eastAsia" w:ascii="仿宋_GB2312" w:hAnsi="仿宋_GB2312" w:eastAsia="仿宋_GB2312" w:cs="仿宋_GB2312"/>
          <w:color w:val="auto"/>
          <w:szCs w:val="32"/>
          <w:lang w:val="en-US" w:eastAsia="zh-CN"/>
        </w:rPr>
        <w:t>年</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lang w:val="en-US" w:eastAsia="zh-CN"/>
        </w:rPr>
        <w:t>月</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lang w:val="en-US" w:eastAsia="zh-CN"/>
        </w:rPr>
        <w:t>日至</w:t>
      </w:r>
      <w:r>
        <w:rPr>
          <w:rFonts w:hint="eastAsia" w:ascii="仿宋_GB2312" w:hAnsi="仿宋_GB2312" w:cs="仿宋_GB2312"/>
          <w:color w:val="auto"/>
          <w:szCs w:val="32"/>
          <w:lang w:val="en-US" w:eastAsia="zh-CN"/>
        </w:rPr>
        <w:t>2024</w:t>
      </w:r>
      <w:r>
        <w:rPr>
          <w:rFonts w:hint="eastAsia" w:ascii="仿宋_GB2312" w:hAnsi="仿宋_GB2312" w:eastAsia="仿宋_GB2312" w:cs="仿宋_GB2312"/>
          <w:color w:val="auto"/>
          <w:szCs w:val="32"/>
          <w:lang w:val="en-US" w:eastAsia="zh-CN"/>
        </w:rPr>
        <w:t>年</w:t>
      </w:r>
      <w:r>
        <w:rPr>
          <w:rFonts w:hint="eastAsia" w:ascii="仿宋_GB2312" w:hAnsi="仿宋_GB2312" w:cs="仿宋_GB2312"/>
          <w:color w:val="auto"/>
          <w:szCs w:val="32"/>
          <w:lang w:val="en-US" w:eastAsia="zh-CN"/>
        </w:rPr>
        <w:t>7</w:t>
      </w:r>
      <w:r>
        <w:rPr>
          <w:rFonts w:hint="eastAsia" w:ascii="仿宋_GB2312" w:hAnsi="仿宋_GB2312" w:eastAsia="仿宋_GB2312" w:cs="仿宋_GB2312"/>
          <w:color w:val="auto"/>
          <w:szCs w:val="32"/>
          <w:lang w:val="en-US" w:eastAsia="zh-CN"/>
        </w:rPr>
        <w:t>月累计获考核分</w:t>
      </w:r>
      <w:r>
        <w:rPr>
          <w:rFonts w:hint="eastAsia" w:ascii="仿宋_GB2312" w:hAnsi="仿宋_GB2312" w:cs="仿宋_GB2312"/>
          <w:color w:val="auto"/>
          <w:szCs w:val="32"/>
          <w:lang w:val="en-US" w:eastAsia="zh-CN"/>
        </w:rPr>
        <w:t>949</w:t>
      </w:r>
      <w:r>
        <w:rPr>
          <w:rFonts w:hint="eastAsia" w:ascii="仿宋_GB2312" w:hAnsi="仿宋_GB2312" w:eastAsia="仿宋_GB2312" w:cs="仿宋_GB2312"/>
          <w:color w:val="auto"/>
          <w:szCs w:val="32"/>
          <w:lang w:val="en-US" w:eastAsia="zh-CN"/>
        </w:rPr>
        <w:t>分，物质奖励</w:t>
      </w:r>
      <w:r>
        <w:rPr>
          <w:rFonts w:hint="eastAsia" w:ascii="仿宋_GB2312" w:hAnsi="仿宋_GB2312" w:cs="仿宋_GB2312"/>
          <w:color w:val="auto"/>
          <w:szCs w:val="32"/>
          <w:lang w:val="en-US" w:eastAsia="zh-CN"/>
        </w:rPr>
        <w:t>1</w:t>
      </w:r>
      <w:r>
        <w:rPr>
          <w:rFonts w:hint="eastAsia" w:ascii="仿宋_GB2312" w:hAnsi="仿宋_GB2312" w:eastAsia="仿宋_GB2312" w:cs="仿宋_GB2312"/>
          <w:color w:val="auto"/>
          <w:szCs w:val="32"/>
          <w:lang w:val="en-US" w:eastAsia="zh-CN"/>
        </w:rPr>
        <w:t>次；考核期内无违规扣分。</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lang w:val="en-US" w:eastAsia="zh-CN"/>
        </w:rPr>
      </w:pPr>
      <w:r>
        <w:rPr>
          <w:rFonts w:hint="eastAsia" w:ascii="仿宋_GB2312" w:hAnsi="仿宋_GB2312" w:eastAsia="仿宋_GB2312" w:cs="仿宋_GB2312"/>
          <w:color w:val="auto"/>
          <w:szCs w:val="32"/>
          <w:lang w:val="en-US" w:eastAsia="zh-CN"/>
        </w:rPr>
        <w:t>原判财产性判项</w:t>
      </w:r>
      <w:r>
        <w:rPr>
          <w:rFonts w:hint="eastAsia" w:ascii="仿宋_GB2312" w:hAnsi="仿宋_GB2312" w:cs="仿宋_GB2312"/>
          <w:color w:val="auto"/>
          <w:szCs w:val="32"/>
          <w:lang w:val="en-US" w:eastAsia="zh-CN"/>
        </w:rPr>
        <w:t>罚金人民币30000元，已于判决时履行完毕。</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该犯系判决生效后剩余刑期一年三个月以上不满二年有期徒刑的罪犯。</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本案于</w:t>
      </w:r>
      <w:r>
        <w:rPr>
          <w:rFonts w:hint="eastAsia" w:ascii="仿宋_GB2312" w:hAnsi="仿宋_GB2312" w:eastAsia="仿宋_GB2312" w:cs="仿宋_GB2312"/>
          <w:color w:val="auto"/>
          <w:szCs w:val="32"/>
          <w:lang w:val="en-US" w:eastAsia="zh-CN"/>
        </w:rPr>
        <w:t>2024</w:t>
      </w:r>
      <w:r>
        <w:rPr>
          <w:rFonts w:hint="eastAsia" w:ascii="仿宋_GB2312" w:hAnsi="仿宋_GB2312" w:eastAsia="仿宋_GB2312" w:cs="仿宋_GB2312"/>
          <w:color w:val="auto"/>
          <w:szCs w:val="32"/>
        </w:rPr>
        <w:t>年</w:t>
      </w:r>
      <w:r>
        <w:rPr>
          <w:rFonts w:hint="eastAsia" w:ascii="仿宋_GB2312" w:hAnsi="仿宋_GB2312" w:eastAsia="仿宋_GB2312" w:cs="仿宋_GB2312"/>
          <w:color w:val="auto"/>
          <w:szCs w:val="32"/>
          <w:lang w:val="en-US" w:eastAsia="zh-CN"/>
        </w:rPr>
        <w:t>10</w:t>
      </w:r>
      <w:r>
        <w:rPr>
          <w:rFonts w:hint="eastAsia" w:ascii="仿宋_GB2312" w:hAnsi="仿宋_GB2312" w:eastAsia="仿宋_GB2312" w:cs="仿宋_GB2312"/>
          <w:color w:val="auto"/>
          <w:szCs w:val="32"/>
        </w:rPr>
        <w:t>月</w:t>
      </w:r>
      <w:r>
        <w:rPr>
          <w:rFonts w:hint="eastAsia" w:ascii="仿宋_GB2312" w:hAnsi="仿宋_GB2312" w:eastAsia="仿宋_GB2312" w:cs="仿宋_GB2312"/>
          <w:color w:val="auto"/>
          <w:szCs w:val="32"/>
          <w:lang w:val="en-US" w:eastAsia="zh-CN"/>
        </w:rPr>
        <w:t>16</w:t>
      </w:r>
      <w:r>
        <w:rPr>
          <w:rFonts w:hint="eastAsia" w:ascii="仿宋_GB2312" w:hAnsi="仿宋_GB2312" w:eastAsia="仿宋_GB2312" w:cs="仿宋_GB2312"/>
          <w:color w:val="auto"/>
          <w:szCs w:val="32"/>
        </w:rPr>
        <w:t>日至</w:t>
      </w:r>
      <w:r>
        <w:rPr>
          <w:rFonts w:hint="eastAsia" w:ascii="仿宋_GB2312" w:hAnsi="仿宋_GB2312" w:eastAsia="仿宋_GB2312" w:cs="仿宋_GB2312"/>
          <w:color w:val="auto"/>
          <w:szCs w:val="32"/>
          <w:lang w:val="en-US" w:eastAsia="zh-CN"/>
        </w:rPr>
        <w:t>2024</w:t>
      </w:r>
      <w:r>
        <w:rPr>
          <w:rFonts w:hint="eastAsia" w:ascii="仿宋_GB2312" w:hAnsi="仿宋_GB2312" w:eastAsia="仿宋_GB2312" w:cs="仿宋_GB2312"/>
          <w:color w:val="auto"/>
          <w:szCs w:val="32"/>
        </w:rPr>
        <w:t>年</w:t>
      </w:r>
      <w:r>
        <w:rPr>
          <w:rFonts w:hint="eastAsia" w:ascii="仿宋_GB2312" w:hAnsi="仿宋_GB2312" w:eastAsia="仿宋_GB2312" w:cs="仿宋_GB2312"/>
          <w:color w:val="auto"/>
          <w:szCs w:val="32"/>
          <w:lang w:val="en-US" w:eastAsia="zh-CN"/>
        </w:rPr>
        <w:t>10</w:t>
      </w:r>
      <w:r>
        <w:rPr>
          <w:rFonts w:hint="eastAsia" w:ascii="仿宋_GB2312" w:hAnsi="仿宋_GB2312" w:eastAsia="仿宋_GB2312" w:cs="仿宋_GB2312"/>
          <w:color w:val="auto"/>
          <w:szCs w:val="32"/>
        </w:rPr>
        <w:t>月</w:t>
      </w:r>
      <w:r>
        <w:rPr>
          <w:rFonts w:hint="eastAsia" w:ascii="仿宋_GB2312" w:hAnsi="仿宋_GB2312" w:eastAsia="仿宋_GB2312" w:cs="仿宋_GB2312"/>
          <w:color w:val="auto"/>
          <w:szCs w:val="32"/>
          <w:lang w:val="en-US" w:eastAsia="zh-CN"/>
        </w:rPr>
        <w:t>22</w:t>
      </w:r>
      <w:r>
        <w:rPr>
          <w:rFonts w:hint="eastAsia" w:ascii="仿宋_GB2312" w:hAnsi="仿宋_GB2312" w:eastAsia="仿宋_GB2312" w:cs="仿宋_GB2312"/>
          <w:color w:val="auto"/>
          <w:szCs w:val="32"/>
        </w:rPr>
        <w:t>日在狱内公示未收到不同意见。</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因此，依照《中华人民共和国刑法》第七十八条、第七十</w:t>
      </w:r>
      <w:r>
        <w:rPr>
          <w:rFonts w:hint="eastAsia" w:ascii="仿宋_GB2312" w:hAnsi="仿宋_GB2312" w:eastAsia="仿宋_GB2312" w:cs="仿宋_GB2312"/>
          <w:color w:val="auto"/>
          <w:szCs w:val="32"/>
          <w:lang w:val="en-US" w:eastAsia="zh-CN"/>
        </w:rPr>
        <w:t>九</w:t>
      </w:r>
      <w:r>
        <w:rPr>
          <w:rFonts w:hint="eastAsia" w:ascii="仿宋_GB2312" w:hAnsi="仿宋_GB2312" w:eastAsia="仿宋_GB2312" w:cs="仿宋_GB2312"/>
          <w:color w:val="auto"/>
          <w:szCs w:val="32"/>
        </w:rPr>
        <w:t>条</w:t>
      </w:r>
      <w:r>
        <w:rPr>
          <w:rFonts w:hint="eastAsia" w:ascii="仿宋_GB2312" w:hAnsi="仿宋_GB2312" w:eastAsia="仿宋_GB2312" w:cs="仿宋_GB2312"/>
          <w:color w:val="auto"/>
          <w:szCs w:val="32"/>
          <w:lang w:eastAsia="zh-CN"/>
        </w:rPr>
        <w:t>、</w:t>
      </w:r>
      <w:r>
        <w:rPr>
          <w:rFonts w:hint="eastAsia" w:ascii="仿宋_GB2312" w:hAnsi="仿宋_GB2312" w:eastAsia="仿宋_GB2312" w:cs="仿宋_GB2312"/>
          <w:color w:val="auto"/>
          <w:szCs w:val="32"/>
        </w:rPr>
        <w:t>《中华人民共和国刑事诉讼法》第二百七十三条第二款</w:t>
      </w:r>
      <w:r>
        <w:rPr>
          <w:rFonts w:hint="eastAsia" w:ascii="仿宋_GB2312" w:hAnsi="仿宋_GB2312" w:eastAsia="仿宋_GB2312" w:cs="仿宋_GB2312"/>
          <w:color w:val="auto"/>
          <w:szCs w:val="32"/>
          <w:lang w:eastAsia="zh-CN"/>
        </w:rPr>
        <w:t>和</w:t>
      </w:r>
      <w:r>
        <w:rPr>
          <w:rFonts w:hint="eastAsia" w:ascii="仿宋_GB2312" w:hAnsi="仿宋_GB2312" w:eastAsia="仿宋_GB2312" w:cs="仿宋_GB2312"/>
          <w:color w:val="auto"/>
          <w:szCs w:val="32"/>
        </w:rPr>
        <w:t>《中华人民共和国监狱法》第二十九条的规定，建议对罪犯</w:t>
      </w:r>
      <w:r>
        <w:rPr>
          <w:rFonts w:hint="eastAsia" w:ascii="仿宋_GB2312" w:hAnsi="仿宋_GB2312" w:cs="仿宋_GB2312"/>
          <w:color w:val="auto"/>
          <w:szCs w:val="32"/>
          <w:lang w:eastAsia="zh-CN"/>
        </w:rPr>
        <w:t>吴才兴</w:t>
      </w:r>
      <w:r>
        <w:rPr>
          <w:rFonts w:hint="eastAsia" w:ascii="仿宋_GB2312" w:hAnsi="仿宋_GB2312" w:eastAsia="仿宋_GB2312" w:cs="仿宋_GB2312"/>
          <w:color w:val="auto"/>
          <w:szCs w:val="32"/>
        </w:rPr>
        <w:t>予以减刑</w:t>
      </w:r>
      <w:r>
        <w:rPr>
          <w:rFonts w:hint="eastAsia" w:ascii="仿宋_GB2312" w:hAnsi="仿宋_GB2312" w:cs="仿宋_GB2312"/>
          <w:color w:val="auto"/>
          <w:szCs w:val="32"/>
          <w:lang w:eastAsia="zh-CN"/>
        </w:rPr>
        <w:t>三</w:t>
      </w:r>
      <w:r>
        <w:rPr>
          <w:rFonts w:hint="eastAsia" w:ascii="仿宋_GB2312" w:hAnsi="仿宋_GB2312" w:eastAsia="仿宋_GB2312" w:cs="仿宋_GB2312"/>
          <w:color w:val="auto"/>
          <w:szCs w:val="32"/>
        </w:rPr>
        <w:t>个月。特提请你院审理裁定。</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此致</w:t>
      </w:r>
    </w:p>
    <w:p>
      <w:pPr>
        <w:pStyle w:val="11"/>
        <w:keepNext w:val="0"/>
        <w:keepLines w:val="0"/>
        <w:pageBreakBefore w:val="0"/>
        <w:widowControl w:val="0"/>
        <w:kinsoku/>
        <w:wordWrap/>
        <w:overflowPunct/>
        <w:topLinePunct w:val="0"/>
        <w:bidi w:val="0"/>
        <w:snapToGrid/>
        <w:spacing w:line="600" w:lineRule="exact"/>
        <w:ind w:left="0" w:leftChars="0" w:right="-48" w:rightChars="-15"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eastAsia="zh-CN"/>
        </w:rPr>
        <w:t>漳州</w:t>
      </w:r>
      <w:r>
        <w:rPr>
          <w:rFonts w:hint="eastAsia" w:ascii="仿宋_GB2312" w:hAnsi="仿宋_GB2312" w:eastAsia="仿宋_GB2312" w:cs="仿宋_GB2312"/>
          <w:color w:val="auto"/>
          <w:szCs w:val="32"/>
        </w:rPr>
        <w:t>市中级人民法院</w:t>
      </w:r>
    </w:p>
    <w:p>
      <w:pPr>
        <w:pStyle w:val="11"/>
        <w:keepNext w:val="0"/>
        <w:keepLines w:val="0"/>
        <w:pageBreakBefore w:val="0"/>
        <w:widowControl w:val="0"/>
        <w:kinsoku/>
        <w:wordWrap/>
        <w:overflowPunct/>
        <w:topLinePunct w:val="0"/>
        <w:bidi w:val="0"/>
        <w:snapToGrid/>
        <w:spacing w:line="600" w:lineRule="exact"/>
        <w:ind w:left="640" w:firstLine="0" w:firstLineChars="0"/>
        <w:jc w:val="left"/>
        <w:textAlignment w:val="auto"/>
        <w:rPr>
          <w:rFonts w:hint="eastAsia" w:ascii="仿宋_GB2312" w:hAnsi="仿宋_GB2312" w:eastAsia="仿宋_GB2312" w:cs="仿宋_GB2312"/>
          <w:color w:val="auto"/>
          <w:szCs w:val="32"/>
        </w:rPr>
      </w:pPr>
    </w:p>
    <w:p>
      <w:pPr>
        <w:pStyle w:val="11"/>
        <w:keepNext w:val="0"/>
        <w:keepLines w:val="0"/>
        <w:pageBreakBefore w:val="0"/>
        <w:widowControl w:val="0"/>
        <w:kinsoku/>
        <w:wordWrap/>
        <w:overflowPunct/>
        <w:topLinePunct w:val="0"/>
        <w:bidi w:val="0"/>
        <w:snapToGrid/>
        <w:spacing w:line="600" w:lineRule="exact"/>
        <w:ind w:left="640"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附件：⒈罪犯</w:t>
      </w:r>
      <w:r>
        <w:rPr>
          <w:rFonts w:hint="eastAsia" w:ascii="仿宋_GB2312" w:hAnsi="仿宋_GB2312" w:cs="仿宋_GB2312"/>
          <w:color w:val="auto"/>
          <w:szCs w:val="32"/>
          <w:lang w:eastAsia="zh-CN"/>
        </w:rPr>
        <w:t>吴才兴</w:t>
      </w:r>
      <w:r>
        <w:rPr>
          <w:rFonts w:hint="eastAsia" w:ascii="仿宋_GB2312" w:hAnsi="仿宋_GB2312" w:eastAsia="仿宋_GB2312" w:cs="仿宋_GB2312"/>
          <w:color w:val="auto"/>
          <w:szCs w:val="32"/>
        </w:rPr>
        <w:t>卷宗</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册</w:t>
      </w:r>
    </w:p>
    <w:p>
      <w:pPr>
        <w:pStyle w:val="11"/>
        <w:keepNext w:val="0"/>
        <w:keepLines w:val="0"/>
        <w:pageBreakBefore w:val="0"/>
        <w:widowControl w:val="0"/>
        <w:kinsoku/>
        <w:wordWrap/>
        <w:overflowPunct/>
        <w:topLinePunct w:val="0"/>
        <w:bidi w:val="0"/>
        <w:snapToGrid/>
        <w:spacing w:line="600" w:lineRule="exact"/>
        <w:ind w:left="640" w:right="-48" w:rightChars="-15" w:firstLine="960" w:firstLineChars="3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⒉减刑建议书</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份</w:t>
      </w:r>
    </w:p>
    <w:p>
      <w:pPr>
        <w:pStyle w:val="11"/>
        <w:keepNext w:val="0"/>
        <w:keepLines w:val="0"/>
        <w:pageBreakBefore w:val="0"/>
        <w:widowControl w:val="0"/>
        <w:kinsoku/>
        <w:wordWrap/>
        <w:overflowPunct/>
        <w:topLinePunct w:val="0"/>
        <w:bidi w:val="0"/>
        <w:snapToGrid/>
        <w:spacing w:line="600" w:lineRule="exact"/>
        <w:ind w:left="640" w:right="-48" w:rightChars="-15" w:firstLine="960" w:firstLineChars="300"/>
        <w:jc w:val="left"/>
        <w:textAlignment w:val="auto"/>
        <w:rPr>
          <w:rFonts w:hint="eastAsia" w:ascii="仿宋_GB2312" w:hAnsi="仿宋_GB2312" w:eastAsia="仿宋_GB2312" w:cs="仿宋_GB2312"/>
          <w:color w:val="auto"/>
          <w:szCs w:val="32"/>
        </w:rPr>
      </w:pPr>
    </w:p>
    <w:p>
      <w:pPr>
        <w:pStyle w:val="11"/>
        <w:keepNext w:val="0"/>
        <w:keepLines w:val="0"/>
        <w:pageBreakBefore w:val="0"/>
        <w:widowControl w:val="0"/>
        <w:kinsoku/>
        <w:wordWrap/>
        <w:overflowPunct/>
        <w:topLinePunct w:val="0"/>
        <w:bidi w:val="0"/>
        <w:snapToGrid/>
        <w:spacing w:line="600" w:lineRule="exact"/>
        <w:ind w:left="640" w:right="-48" w:rightChars="-15" w:firstLine="960" w:firstLineChars="300"/>
        <w:jc w:val="left"/>
        <w:textAlignment w:val="auto"/>
        <w:rPr>
          <w:rFonts w:hint="eastAsia" w:ascii="仿宋_GB2312" w:hAnsi="仿宋_GB2312" w:eastAsia="仿宋_GB2312" w:cs="仿宋_GB2312"/>
          <w:color w:val="auto"/>
          <w:szCs w:val="32"/>
        </w:rPr>
      </w:pPr>
    </w:p>
    <w:p>
      <w:pPr>
        <w:pStyle w:val="11"/>
        <w:keepNext w:val="0"/>
        <w:keepLines w:val="0"/>
        <w:pageBreakBefore w:val="0"/>
        <w:widowControl w:val="0"/>
        <w:kinsoku/>
        <w:wordWrap w:val="0"/>
        <w:overflowPunct/>
        <w:topLinePunct w:val="0"/>
        <w:bidi w:val="0"/>
        <w:snapToGrid/>
        <w:spacing w:line="600" w:lineRule="exact"/>
        <w:ind w:left="640" w:right="-48" w:rightChars="-15" w:firstLine="960" w:firstLineChars="300"/>
        <w:jc w:val="right"/>
        <w:textAlignment w:val="auto"/>
        <w:rPr>
          <w:rFonts w:hint="eastAsia" w:ascii="仿宋_GB2312" w:hAnsi="仿宋_GB2312" w:cs="仿宋_GB2312"/>
          <w:color w:val="auto"/>
          <w:szCs w:val="32"/>
          <w:lang w:val="en-US" w:eastAsia="zh-CN"/>
        </w:rPr>
      </w:pPr>
      <w:r>
        <w:rPr>
          <w:rFonts w:hint="eastAsia" w:ascii="仿宋_GB2312" w:hAnsi="仿宋_GB2312" w:cs="仿宋_GB2312"/>
          <w:color w:val="auto"/>
          <w:szCs w:val="32"/>
          <w:lang w:eastAsia="zh-CN"/>
        </w:rPr>
        <w:t>福建省漳州监狱</w:t>
      </w:r>
      <w:r>
        <w:rPr>
          <w:rFonts w:hint="eastAsia" w:ascii="仿宋_GB2312" w:hAnsi="仿宋_GB2312" w:cs="仿宋_GB2312"/>
          <w:color w:val="auto"/>
          <w:szCs w:val="32"/>
          <w:lang w:val="en-US" w:eastAsia="zh-CN"/>
        </w:rPr>
        <w:t xml:space="preserve">   </w:t>
      </w:r>
    </w:p>
    <w:p>
      <w:pPr>
        <w:pStyle w:val="11"/>
        <w:keepNext w:val="0"/>
        <w:keepLines w:val="0"/>
        <w:pageBreakBefore w:val="0"/>
        <w:widowControl w:val="0"/>
        <w:kinsoku/>
        <w:wordWrap w:val="0"/>
        <w:overflowPunct/>
        <w:topLinePunct w:val="0"/>
        <w:bidi w:val="0"/>
        <w:snapToGrid/>
        <w:spacing w:line="600" w:lineRule="exact"/>
        <w:ind w:left="640" w:right="-48" w:rightChars="-15" w:firstLine="960" w:firstLineChars="300"/>
        <w:jc w:val="right"/>
        <w:textAlignment w:val="auto"/>
        <w:rPr>
          <w:rFonts w:hint="eastAsia" w:ascii="仿宋_GB2312" w:hAnsi="仿宋_GB2312" w:cs="仿宋_GB2312"/>
          <w:color w:val="auto"/>
          <w:szCs w:val="32"/>
          <w:lang w:val="en-US" w:eastAsia="zh-CN"/>
        </w:rPr>
      </w:pPr>
      <w:r>
        <w:rPr>
          <w:rFonts w:hint="eastAsia" w:ascii="仿宋_GB2312" w:hAnsi="仿宋_GB2312" w:cs="仿宋_GB2312"/>
          <w:color w:val="auto"/>
          <w:szCs w:val="32"/>
          <w:lang w:val="en-US" w:eastAsia="zh-CN"/>
        </w:rPr>
        <w:t>2024</w:t>
      </w:r>
      <w:r>
        <w:rPr>
          <w:rFonts w:hint="eastAsia" w:ascii="仿宋_GB2312" w:hAnsi="仿宋_GB2312" w:cs="仿宋_GB2312"/>
          <w:color w:val="auto"/>
          <w:szCs w:val="32"/>
          <w:lang w:eastAsia="zh-CN"/>
        </w:rPr>
        <w:t>年</w:t>
      </w:r>
      <w:r>
        <w:rPr>
          <w:rFonts w:hint="eastAsia" w:ascii="仿宋_GB2312" w:hAnsi="仿宋_GB2312" w:cs="仿宋_GB2312"/>
          <w:color w:val="auto"/>
          <w:szCs w:val="32"/>
          <w:lang w:val="en-US" w:eastAsia="zh-CN"/>
        </w:rPr>
        <w:t xml:space="preserve">10月28日  </w:t>
      </w:r>
    </w:p>
    <w:p>
      <w:pPr>
        <w:pStyle w:val="2"/>
        <w:keepNext w:val="0"/>
        <w:keepLines w:val="0"/>
        <w:pageBreakBefore w:val="0"/>
        <w:widowControl w:val="0"/>
        <w:kinsoku/>
        <w:wordWrap/>
        <w:overflowPunct/>
        <w:topLinePunct w:val="0"/>
        <w:autoSpaceDE/>
        <w:autoSpaceDN/>
        <w:bidi w:val="0"/>
        <w:adjustRightInd/>
        <w:snapToGrid/>
        <w:spacing w:line="600" w:lineRule="exact"/>
        <w:ind w:right="1280" w:rightChars="400"/>
        <w:jc w:val="right"/>
        <w:textAlignment w:val="auto"/>
        <w:rPr>
          <w:rFonts w:hint="eastAsia" w:ascii="仿宋_GB2312" w:hAnsi="仿宋_GB2312" w:cs="仿宋_GB2312"/>
          <w:color w:val="auto"/>
          <w:szCs w:val="32"/>
          <w:lang w:eastAsia="zh-CN"/>
        </w:rPr>
      </w:pPr>
      <w:r>
        <w:rPr>
          <w:rFonts w:hint="eastAsia" w:ascii="仿宋_GB2312" w:hAnsi="仿宋_GB2312" w:cs="仿宋_GB2312"/>
          <w:color w:val="auto"/>
          <w:szCs w:val="32"/>
          <w:lang w:val="en-US" w:eastAsia="zh-CN"/>
        </w:rPr>
        <w:t xml:space="preserve"> </w:t>
      </w:r>
    </w:p>
    <w:p>
      <w:pPr>
        <w:jc w:val="center"/>
        <w:rPr>
          <w:rFonts w:hint="eastAsia"/>
          <w:lang w:val="en-US" w:eastAsia="zh-CN"/>
        </w:rPr>
      </w:pPr>
      <w:r>
        <w:rPr>
          <w:rFonts w:hint="eastAsia" w:ascii="仿宋_GB2312" w:hAnsi="仿宋_GB2312" w:cs="仿宋_GB2312"/>
          <w:color w:val="auto"/>
          <w:szCs w:val="32"/>
          <w:lang w:val="en-US" w:eastAsia="zh-CN"/>
        </w:rPr>
        <w:t xml:space="preserve">                       </w:t>
      </w:r>
    </w:p>
    <w:sectPr>
      <w:headerReference r:id="rId3" w:type="default"/>
      <w:headerReference r:id="rId4" w:type="even"/>
      <w:pgSz w:w="11905" w:h="16838"/>
      <w:pgMar w:top="1871" w:right="1304" w:bottom="1871" w:left="1587" w:header="850" w:footer="992" w:gutter="0"/>
      <w:pgNumType w:fmt="decimal"/>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4445" t="4445" r="14605" b="14605"/>
              <wp:wrapNone/>
              <wp:docPr id="33" name="矩形 1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cap="flat" cmpd="sng">
                        <a:solidFill>
                          <a:srgbClr val="FFFFFF"/>
                        </a:solidFill>
                        <a:prstDash val="solid"/>
                        <a:miter/>
                        <a:headEnd type="none" w="med" len="med"/>
                        <a:tailEnd type="none" w="med" len="med"/>
                      </a:ln>
                    </wps:spPr>
                    <wps:txbx>
                      <w:txbxContent>
                        <w:p>
                          <w:pPr>
                            <w:pStyle w:val="5"/>
                            <w:rPr>
                              <w:color w:val="FFFFFF"/>
                            </w:rPr>
                          </w:pPr>
                        </w:p>
                      </w:txbxContent>
                    </wps:txbx>
                    <wps:bodyPr wrap="none" lIns="0" tIns="0" rIns="0" bIns="0" upright="1">
                      <a:spAutoFit/>
                    </wps:bodyPr>
                  </wps:wsp>
                </a:graphicData>
              </a:graphic>
            </wp:anchor>
          </w:drawing>
        </mc:Choice>
        <mc:Fallback>
          <w:pict>
            <v:rect id="矩形 19" o:spid="_x0000_s1026" o:spt="1" style="position:absolute;left:0pt;margin-top:0pt;height:144pt;width:144pt;mso-position-horizontal:right;mso-position-horizontal-relative:margin;mso-wrap-style:none;z-index:251659264;mso-width-relative:page;mso-height-relative:page;" filled="f" stroked="t" coordsize="21600,21600" o:gfxdata="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s359IAAAAFAQAADwAAAAAA&#10;AAABACAAAAAiAAAAZHJzL2Rvd25yZXYueG1sUEsBAhQAFAAAAAgAh07iQOd4AQ8ZAgAATQQAAA4A&#10;AAAAAAAAAQAgAAAAIQEAAGRycy9lMm9Eb2MueG1sUEsFBgAAAAAGAAYAWQEAAKwFAAAAAA==&#10;">
              <v:fill on="f" focussize="0,0"/>
              <v:stroke color="#FFFFFF" joinstyle="miter"/>
              <v:imagedata o:title=""/>
              <o:lock v:ext="edit" aspectratio="f"/>
              <v:textbox inset="0mm,0mm,0mm,0mm" style="mso-fit-shape-to-text:t;">
                <w:txbxContent>
                  <w:p>
                    <w:pPr>
                      <w:pStyle w:val="5"/>
                      <w:rPr>
                        <w:color w:val="FFFFFF"/>
                      </w:rPr>
                    </w:pPr>
                  </w:p>
                </w:txbxContent>
              </v:textbox>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hyphenationZone w:val="360"/>
  <w:evenAndOddHeaders w:val="1"/>
  <w:drawingGridHorizontalSpacing w:val="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80E79"/>
    <w:rsid w:val="003F1D04"/>
    <w:rsid w:val="00403597"/>
    <w:rsid w:val="00573B61"/>
    <w:rsid w:val="005941B7"/>
    <w:rsid w:val="00661F71"/>
    <w:rsid w:val="006B3488"/>
    <w:rsid w:val="007D4D6D"/>
    <w:rsid w:val="00867AD5"/>
    <w:rsid w:val="008C48BD"/>
    <w:rsid w:val="00905858"/>
    <w:rsid w:val="00AF78BF"/>
    <w:rsid w:val="00C01199"/>
    <w:rsid w:val="00E35EB2"/>
    <w:rsid w:val="00F727EE"/>
    <w:rsid w:val="00FE0126"/>
    <w:rsid w:val="00FF7459"/>
    <w:rsid w:val="027D12FB"/>
    <w:rsid w:val="05907E6F"/>
    <w:rsid w:val="05AE6D00"/>
    <w:rsid w:val="068233F5"/>
    <w:rsid w:val="07AF789A"/>
    <w:rsid w:val="07B61CB8"/>
    <w:rsid w:val="081648E2"/>
    <w:rsid w:val="082B5632"/>
    <w:rsid w:val="09227170"/>
    <w:rsid w:val="0B3926E1"/>
    <w:rsid w:val="0B601E14"/>
    <w:rsid w:val="0C3E42D9"/>
    <w:rsid w:val="0C4F75DC"/>
    <w:rsid w:val="0C533497"/>
    <w:rsid w:val="0C9C0BFA"/>
    <w:rsid w:val="0D9F4467"/>
    <w:rsid w:val="0EB305C3"/>
    <w:rsid w:val="0F137CB5"/>
    <w:rsid w:val="0F2F70D8"/>
    <w:rsid w:val="123256F8"/>
    <w:rsid w:val="12D37334"/>
    <w:rsid w:val="12FD5513"/>
    <w:rsid w:val="13266B46"/>
    <w:rsid w:val="152B74B3"/>
    <w:rsid w:val="16695B42"/>
    <w:rsid w:val="1672618E"/>
    <w:rsid w:val="16B164BB"/>
    <w:rsid w:val="17AF79A1"/>
    <w:rsid w:val="18672CAA"/>
    <w:rsid w:val="1A3A0366"/>
    <w:rsid w:val="1A797B98"/>
    <w:rsid w:val="1C9B58CA"/>
    <w:rsid w:val="1CF81B82"/>
    <w:rsid w:val="1E1E4170"/>
    <w:rsid w:val="1E254562"/>
    <w:rsid w:val="1E5E3E37"/>
    <w:rsid w:val="1ECB0040"/>
    <w:rsid w:val="1EF06AE1"/>
    <w:rsid w:val="20C10415"/>
    <w:rsid w:val="234818AA"/>
    <w:rsid w:val="26E37AA5"/>
    <w:rsid w:val="27181640"/>
    <w:rsid w:val="27682819"/>
    <w:rsid w:val="27F74F46"/>
    <w:rsid w:val="29587091"/>
    <w:rsid w:val="2BFD2379"/>
    <w:rsid w:val="2C2F2A0F"/>
    <w:rsid w:val="2C7845C8"/>
    <w:rsid w:val="2D5B3696"/>
    <w:rsid w:val="31697B8A"/>
    <w:rsid w:val="36653D31"/>
    <w:rsid w:val="36986D96"/>
    <w:rsid w:val="373C6C4A"/>
    <w:rsid w:val="39545F92"/>
    <w:rsid w:val="3F015621"/>
    <w:rsid w:val="42CF6EF1"/>
    <w:rsid w:val="43021637"/>
    <w:rsid w:val="43B26263"/>
    <w:rsid w:val="45266F69"/>
    <w:rsid w:val="45C25924"/>
    <w:rsid w:val="469C4BB4"/>
    <w:rsid w:val="47D846BC"/>
    <w:rsid w:val="48E92855"/>
    <w:rsid w:val="49FD60CF"/>
    <w:rsid w:val="4A937854"/>
    <w:rsid w:val="4C0C55BD"/>
    <w:rsid w:val="4CAA121D"/>
    <w:rsid w:val="4DBE49B0"/>
    <w:rsid w:val="4FDA015F"/>
    <w:rsid w:val="50DC6110"/>
    <w:rsid w:val="50F74865"/>
    <w:rsid w:val="526A219B"/>
    <w:rsid w:val="533D0693"/>
    <w:rsid w:val="53544EF1"/>
    <w:rsid w:val="53EC7365"/>
    <w:rsid w:val="54647A90"/>
    <w:rsid w:val="55095EB9"/>
    <w:rsid w:val="56EF0E79"/>
    <w:rsid w:val="599B42E1"/>
    <w:rsid w:val="5C7D3B00"/>
    <w:rsid w:val="5D2B27E7"/>
    <w:rsid w:val="5EFD0E28"/>
    <w:rsid w:val="5FB32327"/>
    <w:rsid w:val="61D525E8"/>
    <w:rsid w:val="6385269A"/>
    <w:rsid w:val="63997AC2"/>
    <w:rsid w:val="64061DAE"/>
    <w:rsid w:val="64F2539B"/>
    <w:rsid w:val="6A243776"/>
    <w:rsid w:val="6E5724CC"/>
    <w:rsid w:val="6FA16DDA"/>
    <w:rsid w:val="71277157"/>
    <w:rsid w:val="71743704"/>
    <w:rsid w:val="73991756"/>
    <w:rsid w:val="73AB002E"/>
    <w:rsid w:val="77564B75"/>
    <w:rsid w:val="7B711D81"/>
    <w:rsid w:val="7DE84F16"/>
    <w:rsid w:val="7E300D0E"/>
    <w:rsid w:val="7EA527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字符"/>
    <w:link w:val="2"/>
    <w:qFormat/>
    <w:locked/>
    <w:uiPriority w:val="99"/>
    <w:rPr>
      <w:rFonts w:eastAsia="仿宋_GB2312"/>
      <w:kern w:val="32"/>
      <w:sz w:val="32"/>
    </w:rPr>
  </w:style>
  <w:style w:type="character" w:customStyle="1" w:styleId="10">
    <w:name w:val="批注框文本 字符"/>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1547</Words>
  <Characters>8820</Characters>
  <Lines>73</Lines>
  <Paragraphs>20</Paragraphs>
  <TotalTime>1</TotalTime>
  <ScaleCrop>false</ScaleCrop>
  <LinksUpToDate>false</LinksUpToDate>
  <CharactersWithSpaces>10347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Administrator</cp:lastModifiedBy>
  <cp:lastPrinted>2024-02-22T06:37:00Z</cp:lastPrinted>
  <dcterms:modified xsi:type="dcterms:W3CDTF">2024-10-31T09:21:08Z</dcterms:modified>
  <dc:title>福建省监狱系统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