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wordWrap/>
        <w:overflowPunct/>
        <w:topLinePunct w:val="0"/>
        <w:autoSpaceDE/>
        <w:autoSpaceDN/>
        <w:bidi w:val="0"/>
        <w:adjustRightInd/>
        <w:spacing w:before="157" w:beforeLines="50" w:line="430" w:lineRule="exact"/>
        <w:ind w:left="0" w:leftChars="0" w:firstLine="0" w:firstLineChars="0"/>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autoSpaceDE/>
        <w:autoSpaceDN/>
        <w:bidi w:val="0"/>
        <w:adjustRightInd/>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24</w:t>
      </w:r>
      <w:r>
        <w:rPr>
          <w:rFonts w:hint="eastAsia" w:eastAsia="楷体_GB2312" w:cs="楷体_GB2312"/>
          <w:color w:val="auto"/>
          <w:szCs w:val="32"/>
        </w:rPr>
        <w:t>〕闽</w:t>
      </w:r>
      <w:r>
        <w:rPr>
          <w:rFonts w:hint="eastAsia" w:eastAsia="楷体_GB2312" w:cs="楷体_GB2312"/>
          <w:color w:val="auto"/>
          <w:szCs w:val="32"/>
          <w:lang w:eastAsia="zh-CN"/>
        </w:rPr>
        <w:t>漳</w:t>
      </w:r>
      <w:r>
        <w:rPr>
          <w:rFonts w:hint="eastAsia" w:eastAsia="楷体_GB2312" w:cs="楷体_GB2312"/>
          <w:color w:val="auto"/>
          <w:szCs w:val="32"/>
        </w:rPr>
        <w:t>狱减字第</w:t>
      </w:r>
      <w:r>
        <w:rPr>
          <w:rFonts w:hint="eastAsia" w:eastAsia="楷体_GB2312" w:cs="楷体_GB2312"/>
          <w:color w:val="auto"/>
          <w:szCs w:val="32"/>
          <w:lang w:val="en-US" w:eastAsia="zh-CN"/>
        </w:rPr>
        <w:t>537</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罪犯</w:t>
      </w:r>
      <w:r>
        <w:rPr>
          <w:rFonts w:hint="eastAsia" w:ascii="仿宋_GB2312" w:hAnsi="仿宋_GB2312" w:cs="仿宋_GB2312"/>
          <w:color w:val="auto"/>
          <w:szCs w:val="32"/>
          <w:lang w:eastAsia="zh-CN"/>
        </w:rPr>
        <w:t>朱晓翔</w:t>
      </w:r>
      <w:r>
        <w:rPr>
          <w:rFonts w:hint="eastAsia" w:ascii="仿宋_GB2312" w:hAnsi="仿宋_GB2312" w:eastAsia="仿宋_GB2312" w:cs="仿宋_GB2312"/>
          <w:color w:val="auto"/>
          <w:szCs w:val="32"/>
        </w:rPr>
        <w:fldChar w:fldCharType="begin"/>
      </w:r>
      <w:r>
        <w:rPr>
          <w:rFonts w:hint="eastAsia" w:ascii="仿宋_GB2312" w:hAnsi="仿宋_GB2312" w:eastAsia="仿宋_GB2312" w:cs="仿宋_GB2312"/>
          <w:color w:val="auto"/>
          <w:szCs w:val="32"/>
        </w:rPr>
        <w:instrText xml:space="preserve"> AUTOTEXTLIST  \* MERGEFORMAT </w:instrText>
      </w:r>
      <w:r>
        <w:rPr>
          <w:rFonts w:hint="eastAsia" w:ascii="仿宋_GB2312" w:hAnsi="仿宋_GB2312" w:eastAsia="仿宋_GB2312" w:cs="仿宋_GB2312"/>
          <w:color w:val="auto"/>
          <w:szCs w:val="32"/>
        </w:rPr>
        <w:fldChar w:fldCharType="end"/>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男</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val="en-US" w:eastAsia="zh-CN"/>
        </w:rPr>
        <w:t>1991</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26</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eastAsia="zh-CN"/>
        </w:rPr>
        <w:t>初中文化</w:t>
      </w:r>
      <w:r>
        <w:rPr>
          <w:rFonts w:hint="eastAsia" w:ascii="仿宋_GB2312" w:hAnsi="仿宋_GB2312" w:eastAsia="仿宋_GB2312" w:cs="仿宋_GB2312"/>
          <w:color w:val="auto"/>
          <w:szCs w:val="32"/>
          <w:lang w:val="en-US" w:eastAsia="zh-CN"/>
        </w:rPr>
        <w:t>，</w:t>
      </w:r>
      <w:r>
        <w:rPr>
          <w:rFonts w:hint="eastAsia" w:ascii="仿宋_GB2312" w:hAnsi="仿宋_GB2312" w:cs="仿宋_GB2312"/>
          <w:color w:val="auto"/>
          <w:szCs w:val="32"/>
          <w:lang w:eastAsia="zh-CN"/>
        </w:rPr>
        <w:t>住</w:t>
      </w:r>
      <w:r>
        <w:rPr>
          <w:rFonts w:hint="eastAsia" w:ascii="仿宋_GB2312" w:hAnsi="仿宋_GB2312" w:eastAsia="仿宋_GB2312" w:cs="仿宋_GB2312"/>
          <w:color w:val="auto"/>
          <w:szCs w:val="32"/>
        </w:rPr>
        <w:t>福建省厦门市湖里区</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无业</w:t>
      </w:r>
      <w:r>
        <w:rPr>
          <w:rFonts w:hint="eastAsia" w:ascii="仿宋_GB2312" w:hAnsi="仿宋_GB2312" w:eastAsia="仿宋_GB2312" w:cs="仿宋_GB2312"/>
          <w:color w:val="auto"/>
          <w:szCs w:val="32"/>
        </w:rPr>
        <w:t>。</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福建省安溪县</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2023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16</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2023</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0524刑初802</w:t>
      </w:r>
      <w:r>
        <w:rPr>
          <w:rFonts w:hint="eastAsia" w:ascii="仿宋_GB2312" w:hAnsi="仿宋_GB2312" w:eastAsia="仿宋_GB2312" w:cs="仿宋_GB2312"/>
          <w:color w:val="auto"/>
          <w:szCs w:val="32"/>
        </w:rPr>
        <w:t>号刑事判决，以被告人</w:t>
      </w:r>
      <w:r>
        <w:rPr>
          <w:rFonts w:hint="eastAsia" w:ascii="仿宋_GB2312" w:hAnsi="仿宋_GB2312" w:cs="仿宋_GB2312"/>
          <w:color w:val="auto"/>
          <w:szCs w:val="32"/>
          <w:lang w:eastAsia="zh-CN"/>
        </w:rPr>
        <w:t>朱晓翔</w:t>
      </w:r>
      <w:r>
        <w:rPr>
          <w:rFonts w:hint="eastAsia" w:ascii="仿宋_GB2312" w:hAnsi="仿宋_GB2312" w:eastAsia="仿宋_GB2312" w:cs="仿宋_GB2312"/>
          <w:color w:val="auto"/>
          <w:szCs w:val="32"/>
        </w:rPr>
        <w:t>犯</w:t>
      </w:r>
      <w:r>
        <w:rPr>
          <w:rFonts w:hint="eastAsia" w:ascii="仿宋_GB2312" w:hAnsi="仿宋_GB2312" w:cs="仿宋_GB2312"/>
          <w:color w:val="auto"/>
          <w:szCs w:val="32"/>
          <w:lang w:eastAsia="zh-CN"/>
        </w:rPr>
        <w:t>开设赌场</w:t>
      </w:r>
      <w:r>
        <w:rPr>
          <w:rFonts w:hint="eastAsia" w:ascii="仿宋_GB2312" w:hAnsi="仿宋_GB2312" w:eastAsia="仿宋_GB2312" w:cs="仿宋_GB2312"/>
          <w:color w:val="auto"/>
          <w:szCs w:val="32"/>
        </w:rPr>
        <w:t>罪，判处有期徒刑</w:t>
      </w:r>
      <w:r>
        <w:rPr>
          <w:rFonts w:hint="eastAsia" w:ascii="仿宋_GB2312" w:hAnsi="仿宋_GB2312" w:cs="仿宋_GB2312"/>
          <w:color w:val="auto"/>
          <w:szCs w:val="32"/>
          <w:lang w:eastAsia="zh-CN"/>
        </w:rPr>
        <w:t>一年五个月</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并处</w:t>
      </w:r>
      <w:r>
        <w:rPr>
          <w:rFonts w:hint="eastAsia" w:ascii="仿宋_GB2312" w:hAnsi="仿宋_GB2312" w:eastAsia="仿宋_GB2312" w:cs="仿宋_GB2312"/>
          <w:color w:val="auto"/>
          <w:szCs w:val="32"/>
        </w:rPr>
        <w:t>罚金人民币</w:t>
      </w:r>
      <w:r>
        <w:rPr>
          <w:rFonts w:hint="eastAsia" w:ascii="仿宋_GB2312" w:hAnsi="仿宋_GB2312" w:cs="仿宋_GB2312"/>
          <w:color w:val="auto"/>
          <w:szCs w:val="32"/>
          <w:lang w:val="en-US" w:eastAsia="zh-CN"/>
        </w:rPr>
        <w:t>120000元</w:t>
      </w:r>
      <w:r>
        <w:rPr>
          <w:rFonts w:hint="eastAsia" w:ascii="仿宋_GB2312" w:hAnsi="仿宋_GB2312" w:eastAsia="仿宋_GB2312" w:cs="仿宋_GB2312"/>
          <w:color w:val="auto"/>
          <w:szCs w:val="32"/>
        </w:rPr>
        <w:t>。刑期自</w:t>
      </w:r>
      <w:r>
        <w:rPr>
          <w:rFonts w:hint="eastAsia" w:ascii="仿宋_GB2312" w:hAnsi="仿宋_GB2312" w:cs="仿宋_GB2312"/>
          <w:color w:val="auto"/>
          <w:szCs w:val="32"/>
          <w:lang w:val="en-US" w:eastAsia="zh-CN"/>
        </w:rPr>
        <w:t>2023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日起至</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日止。</w:t>
      </w:r>
      <w:r>
        <w:rPr>
          <w:rFonts w:hint="eastAsia" w:ascii="仿宋_GB2312" w:hAnsi="仿宋_GB2312" w:cs="仿宋_GB2312"/>
          <w:color w:val="auto"/>
          <w:szCs w:val="32"/>
          <w:lang w:val="en-US" w:eastAsia="zh-CN"/>
        </w:rPr>
        <w:t>2023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9</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22</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eastAsia="zh-CN"/>
        </w:rPr>
        <w:t>漳州</w:t>
      </w:r>
      <w:r>
        <w:rPr>
          <w:rFonts w:hint="eastAsia" w:ascii="仿宋_GB2312" w:hAnsi="仿宋_GB2312" w:eastAsia="仿宋_GB2312" w:cs="仿宋_GB2312"/>
          <w:color w:val="auto"/>
          <w:szCs w:val="32"/>
        </w:rPr>
        <w:t>监狱执行刑罚。属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color w:val="auto"/>
          <w:szCs w:val="32"/>
          <w:lang w:val="zh-CN"/>
        </w:rPr>
        <w:t>自入监以来</w:t>
      </w:r>
      <w:r>
        <w:rPr>
          <w:rFonts w:hint="eastAsia" w:ascii="仿宋_GB2312" w:hAnsi="仿宋_GB2312" w:eastAsia="仿宋_GB2312" w:cs="仿宋_GB2312"/>
          <w:color w:val="auto"/>
          <w:szCs w:val="32"/>
        </w:rPr>
        <w:t>确有悔改表现，具体事实如下：</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认罪悔罪：</w:t>
      </w:r>
      <w:r>
        <w:rPr>
          <w:rFonts w:hint="eastAsia" w:ascii="仿宋_GB2312" w:hAnsi="仿宋_GB2312" w:eastAsia="仿宋_GB2312" w:cs="仿宋_GB2312"/>
          <w:color w:val="auto"/>
          <w:szCs w:val="32"/>
          <w:lang w:val="en-US" w:eastAsia="zh-CN"/>
        </w:rPr>
        <w:t>能服从法院判决，自书认罪悔罪书</w:t>
      </w:r>
      <w:r>
        <w:rPr>
          <w:rFonts w:hint="eastAsia" w:ascii="仿宋_GB2312" w:hAnsi="仿宋_GB2312" w:eastAsia="仿宋_GB2312" w:cs="仿宋_GB2312"/>
          <w:color w:val="auto"/>
          <w:szCs w:val="32"/>
        </w:rPr>
        <w:t>。</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：能遵守法律法规及监规纪律，接受教育改造。</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color w:val="auto"/>
          <w:szCs w:val="32"/>
          <w:lang w:val="zh-CN" w:eastAsia="zh-CN"/>
        </w:rPr>
        <w:t>奖惩情况：</w:t>
      </w:r>
      <w:r>
        <w:rPr>
          <w:rFonts w:hint="eastAsia" w:ascii="仿宋_GB2312" w:hAnsi="仿宋_GB2312" w:eastAsia="仿宋_GB2312" w:cs="仿宋_GB2312"/>
          <w:color w:val="auto"/>
          <w:szCs w:val="32"/>
          <w:lang w:val="en-US" w:eastAsia="zh-CN"/>
        </w:rPr>
        <w:t>该犯考核期</w:t>
      </w:r>
      <w:r>
        <w:rPr>
          <w:rFonts w:hint="eastAsia" w:ascii="仿宋_GB2312" w:hAnsi="仿宋_GB2312" w:cs="仿宋_GB2312"/>
          <w:color w:val="auto"/>
          <w:szCs w:val="32"/>
          <w:lang w:val="en-US" w:eastAsia="zh-CN"/>
        </w:rPr>
        <w:t>2023</w:t>
      </w:r>
      <w:r>
        <w:rPr>
          <w:rFonts w:hint="eastAsia" w:ascii="仿宋_GB2312" w:hAnsi="仿宋_GB2312" w:eastAsia="仿宋_GB2312" w:cs="仿宋_GB2312"/>
          <w:color w:val="auto"/>
          <w:szCs w:val="32"/>
          <w:lang w:val="en-US" w:eastAsia="zh-CN"/>
        </w:rPr>
        <w:t>年</w:t>
      </w:r>
      <w:r>
        <w:rPr>
          <w:rFonts w:hint="eastAsia" w:ascii="仿宋_GB2312" w:hAnsi="仿宋_GB2312" w:cs="仿宋_GB2312"/>
          <w:color w:val="auto"/>
          <w:szCs w:val="32"/>
          <w:lang w:val="en-US" w:eastAsia="zh-CN"/>
        </w:rPr>
        <w:t>9</w:t>
      </w:r>
      <w:r>
        <w:rPr>
          <w:rFonts w:hint="eastAsia" w:ascii="仿宋_GB2312" w:hAnsi="仿宋_GB2312" w:eastAsia="仿宋_GB2312" w:cs="仿宋_GB2312"/>
          <w:color w:val="auto"/>
          <w:szCs w:val="32"/>
          <w:lang w:val="en-US" w:eastAsia="zh-CN"/>
        </w:rPr>
        <w:t>月</w:t>
      </w:r>
      <w:r>
        <w:rPr>
          <w:rFonts w:hint="eastAsia" w:ascii="仿宋_GB2312" w:hAnsi="仿宋_GB2312" w:cs="仿宋_GB2312"/>
          <w:color w:val="auto"/>
          <w:szCs w:val="32"/>
          <w:lang w:val="en-US" w:eastAsia="zh-CN"/>
        </w:rPr>
        <w:t>22</w:t>
      </w:r>
      <w:r>
        <w:rPr>
          <w:rFonts w:hint="eastAsia" w:ascii="仿宋_GB2312" w:hAnsi="仿宋_GB2312" w:eastAsia="仿宋_GB2312" w:cs="仿宋_GB2312"/>
          <w:color w:val="auto"/>
          <w:szCs w:val="32"/>
          <w:lang w:val="en-US" w:eastAsia="zh-CN"/>
        </w:rPr>
        <w:t>日至</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lang w:val="en-US" w:eastAsia="zh-CN"/>
        </w:rPr>
        <w:t>年</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lang w:val="en-US" w:eastAsia="zh-CN"/>
        </w:rPr>
        <w:t>月累计获考核分</w:t>
      </w:r>
      <w:r>
        <w:rPr>
          <w:rFonts w:hint="eastAsia" w:ascii="仿宋_GB2312" w:hAnsi="仿宋_GB2312" w:cs="仿宋_GB2312"/>
          <w:color w:val="auto"/>
          <w:szCs w:val="32"/>
          <w:lang w:val="en-US" w:eastAsia="zh-CN"/>
        </w:rPr>
        <w:t>822.5</w:t>
      </w:r>
      <w:r>
        <w:rPr>
          <w:rFonts w:hint="eastAsia" w:ascii="仿宋_GB2312" w:hAnsi="仿宋_GB2312" w:eastAsia="仿宋_GB2312" w:cs="仿宋_GB2312"/>
          <w:color w:val="auto"/>
          <w:szCs w:val="32"/>
          <w:lang w:val="en-US" w:eastAsia="zh-CN"/>
        </w:rPr>
        <w:t>分，物质奖励</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lang w:val="en-US" w:eastAsia="zh-CN"/>
        </w:rPr>
        <w:t>次；考核期内无违规扣分。</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color w:val="auto"/>
          <w:szCs w:val="32"/>
          <w:lang w:val="en-US" w:eastAsia="zh-CN"/>
        </w:rPr>
        <w:t>原判财产性判项</w:t>
      </w:r>
      <w:r>
        <w:rPr>
          <w:rFonts w:hint="eastAsia" w:ascii="仿宋_GB2312" w:hAnsi="仿宋_GB2312" w:cs="仿宋_GB2312"/>
          <w:color w:val="auto"/>
          <w:szCs w:val="32"/>
          <w:lang w:val="en-US" w:eastAsia="zh-CN"/>
        </w:rPr>
        <w:t>罚金人民币120000元，已于</w:t>
      </w:r>
      <w:r>
        <w:rPr>
          <w:rFonts w:hint="eastAsia" w:ascii="仿宋_GB2312" w:hAnsi="仿宋_GB2312" w:eastAsia="仿宋_GB2312" w:cs="仿宋_GB2312"/>
          <w:color w:val="auto"/>
          <w:szCs w:val="32"/>
          <w:lang w:val="en-US" w:eastAsia="zh-CN"/>
        </w:rPr>
        <w:t>本次提请</w:t>
      </w:r>
      <w:r>
        <w:rPr>
          <w:rFonts w:hint="eastAsia" w:ascii="仿宋_GB2312" w:hAnsi="仿宋_GB2312" w:eastAsia="仿宋_GB2312" w:cs="仿宋_GB2312"/>
          <w:color w:val="auto"/>
          <w:szCs w:val="32"/>
        </w:rPr>
        <w:t>向</w:t>
      </w:r>
      <w:r>
        <w:rPr>
          <w:rFonts w:hint="eastAsia" w:ascii="仿宋_GB2312" w:hAnsi="仿宋_GB2312" w:cs="仿宋_GB2312"/>
          <w:color w:val="auto"/>
          <w:szCs w:val="32"/>
          <w:lang w:eastAsia="zh-CN"/>
        </w:rPr>
        <w:t>福建省安溪县人民</w:t>
      </w:r>
      <w:r>
        <w:rPr>
          <w:rFonts w:hint="eastAsia" w:ascii="仿宋_GB2312" w:hAnsi="仿宋_GB2312" w:eastAsia="仿宋_GB2312" w:cs="仿宋_GB2312"/>
          <w:color w:val="auto"/>
          <w:szCs w:val="32"/>
        </w:rPr>
        <w:t>法院</w:t>
      </w:r>
      <w:r>
        <w:rPr>
          <w:rFonts w:hint="eastAsia" w:ascii="仿宋_GB2312" w:hAnsi="仿宋_GB2312" w:cs="仿宋_GB2312"/>
          <w:color w:val="auto"/>
          <w:szCs w:val="32"/>
          <w:lang w:eastAsia="zh-CN"/>
        </w:rPr>
        <w:t>履行完毕</w:t>
      </w:r>
      <w:r>
        <w:rPr>
          <w:rFonts w:hint="eastAsia" w:ascii="仿宋_GB2312" w:hAnsi="仿宋_GB2312" w:eastAsia="仿宋_GB2312" w:cs="仿宋_GB2312"/>
          <w:color w:val="auto"/>
          <w:szCs w:val="32"/>
          <w:lang w:val="en-US" w:eastAsia="zh-CN"/>
        </w:rPr>
        <w:t>。</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color w:val="auto"/>
          <w:szCs w:val="32"/>
        </w:rPr>
        <w:t>该犯系判决生效后剩余刑期一年三个月以上不满二年有期徒刑的罪犯。</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w:t>
      </w:r>
      <w:r>
        <w:rPr>
          <w:rFonts w:hint="eastAsia" w:ascii="仿宋_GB2312" w:hAnsi="仿宋_GB2312" w:eastAsia="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eastAsia="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eastAsia="仿宋_GB2312" w:cs="仿宋_GB2312"/>
          <w:color w:val="auto"/>
          <w:szCs w:val="32"/>
          <w:lang w:val="en-US" w:eastAsia="zh-CN"/>
        </w:rPr>
        <w:t>16</w:t>
      </w:r>
      <w:r>
        <w:rPr>
          <w:rFonts w:hint="eastAsia" w:ascii="仿宋_GB2312" w:hAnsi="仿宋_GB2312" w:eastAsia="仿宋_GB2312" w:cs="仿宋_GB2312"/>
          <w:color w:val="auto"/>
          <w:szCs w:val="32"/>
        </w:rPr>
        <w:t>日至</w:t>
      </w:r>
      <w:r>
        <w:rPr>
          <w:rFonts w:hint="eastAsia" w:ascii="仿宋_GB2312" w:hAnsi="仿宋_GB2312" w:eastAsia="仿宋_GB2312" w:cs="仿宋_GB2312"/>
          <w:color w:val="auto"/>
          <w:szCs w:val="32"/>
          <w:lang w:val="en-US" w:eastAsia="zh-CN"/>
        </w:rPr>
        <w:t>2024</w:t>
      </w:r>
      <w:r>
        <w:rPr>
          <w:rFonts w:hint="eastAsia" w:ascii="仿宋_GB2312" w:hAnsi="仿宋_GB2312" w:eastAsia="仿宋_GB2312" w:cs="仿宋_GB2312"/>
          <w:color w:val="auto"/>
          <w:szCs w:val="32"/>
        </w:rPr>
        <w:t>年</w:t>
      </w:r>
      <w:r>
        <w:rPr>
          <w:rFonts w:hint="eastAsia" w:ascii="仿宋_GB2312" w:hAnsi="仿宋_GB2312" w:eastAsia="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eastAsia="仿宋_GB2312" w:cs="仿宋_GB2312"/>
          <w:color w:val="auto"/>
          <w:szCs w:val="32"/>
          <w:lang w:val="en-US" w:eastAsia="zh-CN"/>
        </w:rPr>
        <w:t>22</w:t>
      </w:r>
      <w:r>
        <w:rPr>
          <w:rFonts w:hint="eastAsia" w:ascii="仿宋_GB2312" w:hAnsi="仿宋_GB2312" w:eastAsia="仿宋_GB2312" w:cs="仿宋_GB2312"/>
          <w:color w:val="auto"/>
          <w:szCs w:val="32"/>
        </w:rPr>
        <w:t>日在狱内公示未收到不同意见。</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eastAsia="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eastAsia="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朱晓翔</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二</w:t>
      </w:r>
      <w:r>
        <w:rPr>
          <w:rFonts w:hint="eastAsia" w:ascii="仿宋_GB2312" w:hAnsi="仿宋_GB2312" w:eastAsia="仿宋_GB2312" w:cs="仿宋_GB2312"/>
          <w:color w:val="auto"/>
          <w:szCs w:val="32"/>
        </w:rPr>
        <w:t>个月。特提请你院审理裁定。</w:t>
      </w:r>
    </w:p>
    <w:p>
      <w:pPr>
        <w:pStyle w:val="2"/>
        <w:keepNext w:val="0"/>
        <w:keepLines w:val="0"/>
        <w:pageBreakBefore w:val="0"/>
        <w:widowControl w:val="0"/>
        <w:kinsoku/>
        <w:wordWrap/>
        <w:overflowPunct/>
        <w:topLinePunct w:val="0"/>
        <w:bidi w:val="0"/>
        <w:snapToGrid/>
        <w:spacing w:line="6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60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60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60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朱晓翔</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60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份</w:t>
      </w:r>
    </w:p>
    <w:p>
      <w:pPr>
        <w:pStyle w:val="11"/>
        <w:keepNext w:val="0"/>
        <w:keepLines w:val="0"/>
        <w:pageBreakBefore w:val="0"/>
        <w:widowControl w:val="0"/>
        <w:kinsoku/>
        <w:wordWrap/>
        <w:overflowPunct/>
        <w:topLinePunct w:val="0"/>
        <w:bidi w:val="0"/>
        <w:snapToGrid/>
        <w:spacing w:line="600" w:lineRule="exact"/>
        <w:ind w:left="640" w:right="-48" w:rightChars="-15" w:firstLine="960" w:firstLineChars="30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600" w:lineRule="exact"/>
        <w:ind w:left="640" w:right="-48" w:rightChars="-15" w:firstLine="960" w:firstLineChars="30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val="0"/>
        <w:overflowPunct/>
        <w:topLinePunct w:val="0"/>
        <w:bidi w:val="0"/>
        <w:snapToGrid/>
        <w:spacing w:line="600" w:lineRule="exact"/>
        <w:ind w:left="640" w:right="-48" w:rightChars="-15" w:firstLine="960" w:firstLineChars="300"/>
        <w:jc w:val="right"/>
        <w:textAlignment w:val="auto"/>
        <w:rPr>
          <w:rFonts w:hint="eastAsia" w:ascii="仿宋_GB2312" w:hAnsi="仿宋_GB2312" w:cs="仿宋_GB2312"/>
          <w:color w:val="auto"/>
          <w:szCs w:val="32"/>
          <w:lang w:val="en-US" w:eastAsia="zh-CN"/>
        </w:rPr>
      </w:pPr>
      <w:r>
        <w:rPr>
          <w:rFonts w:hint="eastAsia" w:ascii="仿宋_GB2312" w:hAnsi="仿宋_GB2312" w:cs="仿宋_GB2312"/>
          <w:color w:val="auto"/>
          <w:szCs w:val="32"/>
          <w:lang w:eastAsia="zh-CN"/>
        </w:rPr>
        <w:t>福建省漳州监狱</w:t>
      </w:r>
      <w:r>
        <w:rPr>
          <w:rFonts w:hint="eastAsia" w:ascii="仿宋_GB2312" w:hAnsi="仿宋_GB2312" w:cs="仿宋_GB2312"/>
          <w:color w:val="auto"/>
          <w:szCs w:val="32"/>
          <w:lang w:val="en-US" w:eastAsia="zh-CN"/>
        </w:rPr>
        <w:t xml:space="preserve">   </w:t>
      </w:r>
    </w:p>
    <w:p>
      <w:pPr>
        <w:pStyle w:val="11"/>
        <w:keepNext w:val="0"/>
        <w:keepLines w:val="0"/>
        <w:pageBreakBefore w:val="0"/>
        <w:widowControl w:val="0"/>
        <w:kinsoku/>
        <w:wordWrap w:val="0"/>
        <w:overflowPunct/>
        <w:topLinePunct w:val="0"/>
        <w:bidi w:val="0"/>
        <w:snapToGrid/>
        <w:spacing w:line="600" w:lineRule="exact"/>
        <w:ind w:left="640" w:right="-48" w:rightChars="-15" w:firstLine="960" w:firstLineChars="300"/>
        <w:jc w:val="right"/>
        <w:textAlignment w:val="auto"/>
        <w:rPr>
          <w:rFonts w:hint="eastAsia" w:ascii="仿宋_GB2312" w:hAnsi="仿宋_GB2312" w:cs="仿宋_GB2312"/>
          <w:color w:val="auto"/>
          <w:szCs w:val="32"/>
          <w:lang w:val="en-US" w:eastAsia="zh-CN"/>
        </w:rPr>
      </w:pPr>
      <w:r>
        <w:rPr>
          <w:rFonts w:hint="eastAsia" w:ascii="仿宋_GB2312" w:hAnsi="仿宋_GB2312" w:cs="仿宋_GB2312"/>
          <w:color w:val="auto"/>
          <w:szCs w:val="32"/>
          <w:lang w:val="en-US" w:eastAsia="zh-CN"/>
        </w:rPr>
        <w:t>2024</w:t>
      </w:r>
      <w:r>
        <w:rPr>
          <w:rFonts w:hint="eastAsia" w:ascii="仿宋_GB2312" w:hAnsi="仿宋_GB2312" w:cs="仿宋_GB2312"/>
          <w:color w:val="auto"/>
          <w:szCs w:val="32"/>
          <w:lang w:eastAsia="zh-CN"/>
        </w:rPr>
        <w:t>年</w:t>
      </w:r>
      <w:r>
        <w:rPr>
          <w:rFonts w:hint="eastAsia" w:ascii="仿宋_GB2312" w:hAnsi="仿宋_GB2312" w:cs="仿宋_GB2312"/>
          <w:color w:val="auto"/>
          <w:szCs w:val="32"/>
          <w:lang w:val="en-US" w:eastAsia="zh-CN"/>
        </w:rPr>
        <w:t xml:space="preserve">10月28日  </w:t>
      </w:r>
    </w:p>
    <w:p>
      <w:pPr>
        <w:pStyle w:val="2"/>
        <w:keepNext w:val="0"/>
        <w:keepLines w:val="0"/>
        <w:pageBreakBefore w:val="0"/>
        <w:widowControl w:val="0"/>
        <w:kinsoku/>
        <w:wordWrap/>
        <w:overflowPunct/>
        <w:topLinePunct w:val="0"/>
        <w:autoSpaceDE/>
        <w:autoSpaceDN/>
        <w:bidi w:val="0"/>
        <w:adjustRightInd/>
        <w:snapToGrid/>
        <w:spacing w:line="600" w:lineRule="exact"/>
        <w:ind w:right="1280" w:rightChars="400"/>
        <w:jc w:val="right"/>
        <w:textAlignment w:val="auto"/>
        <w:rPr>
          <w:rFonts w:hint="eastAsia" w:ascii="仿宋_GB2312" w:hAnsi="仿宋_GB2312" w:cs="仿宋_GB2312"/>
          <w:color w:val="auto"/>
          <w:szCs w:val="32"/>
          <w:lang w:eastAsia="zh-CN"/>
        </w:rPr>
      </w:pPr>
      <w:r>
        <w:rPr>
          <w:rFonts w:hint="eastAsia" w:ascii="仿宋_GB2312" w:hAnsi="仿宋_GB2312" w:cs="仿宋_GB2312"/>
          <w:color w:val="auto"/>
          <w:szCs w:val="32"/>
          <w:lang w:val="en-US" w:eastAsia="zh-CN"/>
        </w:rPr>
        <w:t xml:space="preserve"> </w:t>
      </w:r>
    </w:p>
    <w:p>
      <w:pPr>
        <w:jc w:val="center"/>
        <w:rPr>
          <w:rFonts w:hint="eastAsia"/>
          <w:lang w:val="en-US" w:eastAsia="zh-CN"/>
        </w:rPr>
      </w:pPr>
      <w:r>
        <w:rPr>
          <w:rFonts w:hint="eastAsia" w:ascii="仿宋_GB2312" w:hAnsi="仿宋_GB2312" w:cs="仿宋_GB2312"/>
          <w:color w:val="auto"/>
          <w:szCs w:val="32"/>
          <w:lang w:val="en-US" w:eastAsia="zh-CN"/>
        </w:rPr>
        <w:t xml:space="preserve">                       </w:t>
      </w:r>
    </w:p>
    <w:sectPr>
      <w:headerReference r:id="rId3" w:type="default"/>
      <w:headerReference r:id="rId4" w:type="even"/>
      <w:pgSz w:w="11905" w:h="16838"/>
      <w:pgMar w:top="1871" w:right="1304" w:bottom="1871" w:left="1587" w:header="850" w:footer="992" w:gutter="0"/>
      <w:pgNumType w:fmt="decimal"/>
      <w:cols w:space="720" w:num="1"/>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3" name="矩形 19"/>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wps:spPr>
                    <wps:txbx>
                      <w:txbxContent>
                        <w:p>
                          <w:pPr>
                            <w:pStyle w:val="5"/>
                            <w:rPr>
                              <w:color w:val="FFFFFF"/>
                            </w:rPr>
                          </w:pPr>
                        </w:p>
                      </w:txbxContent>
                    </wps:txbx>
                    <wps:bodyPr wrap="none" lIns="0" tIns="0" rIns="0" bIns="0" upright="1">
                      <a:spAutoFit/>
                    </wps:bodyPr>
                  </wps:wsp>
                </a:graphicData>
              </a:graphic>
            </wp:anchor>
          </w:drawing>
        </mc:Choice>
        <mc:Fallback>
          <w:pict>
            <v:rect id="矩形 19" o:spid="_x0000_s1026" o:spt="1" style="position:absolute;left:0pt;margin-top:0pt;height:144pt;width:144pt;mso-position-horizontal:right;mso-position-horizontal-relative:margin;mso-wrap-style:none;z-index:251659264;mso-width-relative:page;mso-height-relative:page;" filled="f" stroked="t" coordsize="21600,21600" o:gfxdata="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s359IAAAAFAQAADwAAAAAA&#10;AAABACAAAAAiAAAAZHJzL2Rvd25yZXYueG1sUEsBAhQAFAAAAAgAh07iQOd4AQ8ZAgAATQQAAA4A&#10;AAAAAAAAAQAgAAAAIQEAAGRycy9lMm9Eb2MueG1sUEsFBgAAAAAGAAYAWQEAAKwFA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hyphenationZone w:val="360"/>
  <w:evenAndOddHeaders w:val="1"/>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F56035"/>
    <w:rsid w:val="05907E6F"/>
    <w:rsid w:val="05AE6D00"/>
    <w:rsid w:val="068233F5"/>
    <w:rsid w:val="07AF789A"/>
    <w:rsid w:val="07B61CB8"/>
    <w:rsid w:val="081648E2"/>
    <w:rsid w:val="082B5632"/>
    <w:rsid w:val="09227170"/>
    <w:rsid w:val="0B3926E1"/>
    <w:rsid w:val="0B601E14"/>
    <w:rsid w:val="0C3E42D9"/>
    <w:rsid w:val="0C4F75DC"/>
    <w:rsid w:val="0C533497"/>
    <w:rsid w:val="0C9C0BFA"/>
    <w:rsid w:val="0D9F4467"/>
    <w:rsid w:val="0EB305C3"/>
    <w:rsid w:val="0F137CB5"/>
    <w:rsid w:val="0F2F70D8"/>
    <w:rsid w:val="123256F8"/>
    <w:rsid w:val="12D37334"/>
    <w:rsid w:val="12FD5513"/>
    <w:rsid w:val="13266B46"/>
    <w:rsid w:val="152B74B3"/>
    <w:rsid w:val="16695B42"/>
    <w:rsid w:val="1672618E"/>
    <w:rsid w:val="16B164BB"/>
    <w:rsid w:val="17AF79A1"/>
    <w:rsid w:val="18672CAA"/>
    <w:rsid w:val="1A3A0366"/>
    <w:rsid w:val="1A797B98"/>
    <w:rsid w:val="1C9B58CA"/>
    <w:rsid w:val="1CF81B82"/>
    <w:rsid w:val="1E1E4170"/>
    <w:rsid w:val="1E254562"/>
    <w:rsid w:val="1E5E3E37"/>
    <w:rsid w:val="1ECB0040"/>
    <w:rsid w:val="1EF06AE1"/>
    <w:rsid w:val="20C10415"/>
    <w:rsid w:val="234818AA"/>
    <w:rsid w:val="26E37AA5"/>
    <w:rsid w:val="27181640"/>
    <w:rsid w:val="27682819"/>
    <w:rsid w:val="29587091"/>
    <w:rsid w:val="2B1744AB"/>
    <w:rsid w:val="2BFD2379"/>
    <w:rsid w:val="2C2F2A0F"/>
    <w:rsid w:val="2C7845C8"/>
    <w:rsid w:val="2D5B3696"/>
    <w:rsid w:val="31697B8A"/>
    <w:rsid w:val="36653D31"/>
    <w:rsid w:val="36986D96"/>
    <w:rsid w:val="373C6C4A"/>
    <w:rsid w:val="39545F92"/>
    <w:rsid w:val="3F015621"/>
    <w:rsid w:val="42CF6EF1"/>
    <w:rsid w:val="43021637"/>
    <w:rsid w:val="43B871EA"/>
    <w:rsid w:val="45266F69"/>
    <w:rsid w:val="45C25924"/>
    <w:rsid w:val="469C4BB4"/>
    <w:rsid w:val="47421F91"/>
    <w:rsid w:val="47D846BC"/>
    <w:rsid w:val="48E92855"/>
    <w:rsid w:val="49FD60CF"/>
    <w:rsid w:val="4A937854"/>
    <w:rsid w:val="4C0C55BD"/>
    <w:rsid w:val="4CAA121D"/>
    <w:rsid w:val="4DBE49B0"/>
    <w:rsid w:val="4FDA015F"/>
    <w:rsid w:val="50DC6110"/>
    <w:rsid w:val="526A219B"/>
    <w:rsid w:val="533D0693"/>
    <w:rsid w:val="53EC7365"/>
    <w:rsid w:val="54647A90"/>
    <w:rsid w:val="55095EB9"/>
    <w:rsid w:val="56EF0E79"/>
    <w:rsid w:val="599B42E1"/>
    <w:rsid w:val="5A1E44D3"/>
    <w:rsid w:val="5C7D3B00"/>
    <w:rsid w:val="5D2B27E7"/>
    <w:rsid w:val="5EFD0E28"/>
    <w:rsid w:val="5FB32327"/>
    <w:rsid w:val="6385269A"/>
    <w:rsid w:val="63997AC2"/>
    <w:rsid w:val="64061DAE"/>
    <w:rsid w:val="64F2539B"/>
    <w:rsid w:val="6A243776"/>
    <w:rsid w:val="6E5724CC"/>
    <w:rsid w:val="6FA16DDA"/>
    <w:rsid w:val="71277157"/>
    <w:rsid w:val="71743704"/>
    <w:rsid w:val="73991756"/>
    <w:rsid w:val="73AB002E"/>
    <w:rsid w:val="77564B75"/>
    <w:rsid w:val="7B711D81"/>
    <w:rsid w:val="7DE84F16"/>
    <w:rsid w:val="7E300D0E"/>
    <w:rsid w:val="7EA527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1</TotalTime>
  <ScaleCrop>false</ScaleCrop>
  <LinksUpToDate>false</LinksUpToDate>
  <CharactersWithSpaces>10347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Administrator</cp:lastModifiedBy>
  <cp:lastPrinted>2024-02-22T06:37:00Z</cp:lastPrinted>
  <dcterms:modified xsi:type="dcterms:W3CDTF">2024-10-31T09:39:14Z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