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00" w:lineRule="exact"/>
        <w:jc w:val="center"/>
        <w:rPr>
          <w:rFonts w:ascii="方正小标宋简体" w:hAnsi="方正小标宋简体" w:eastAsia="方正小标宋简体" w:cs="方正小标宋简体"/>
          <w:sz w:val="30"/>
          <w:szCs w:val="30"/>
        </w:rPr>
      </w:pPr>
      <w:r>
        <w:rPr>
          <w:rFonts w:hint="eastAsia" w:ascii="方正小标宋简体" w:hAnsi="方正小标宋简体" w:eastAsia="方正小标宋简体" w:cs="方正小标宋简体"/>
          <w:sz w:val="44"/>
          <w:szCs w:val="44"/>
        </w:rPr>
        <w:t>福建省漳州监狱</w:t>
      </w:r>
    </w:p>
    <w:p>
      <w:pPr>
        <w:snapToGrid w:val="0"/>
        <w:spacing w:line="4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spacing w:line="400" w:lineRule="exact"/>
        <w:jc w:val="right"/>
        <w:rPr>
          <w:rFonts w:ascii="仿宋_GB2312" w:hAnsi="Times New Roman" w:cs="楷体_GB2312"/>
          <w:szCs w:val="32"/>
        </w:rPr>
      </w:pPr>
      <w:r>
        <w:rPr>
          <w:rFonts w:hint="eastAsia" w:ascii="仿宋_GB2312" w:hAnsi="Times New Roman" w:cs="楷体_GB2312"/>
          <w:szCs w:val="32"/>
        </w:rPr>
        <w:t>〔2024〕闽漳狱减字第636号</w:t>
      </w:r>
    </w:p>
    <w:p>
      <w:pPr>
        <w:spacing w:line="380" w:lineRule="exact"/>
        <w:ind w:firstLine="640" w:firstLineChars="200"/>
        <w:rPr>
          <w:rFonts w:ascii="华文仿宋" w:hAnsi="华文仿宋" w:eastAsia="华文仿宋"/>
          <w:szCs w:val="32"/>
        </w:rPr>
      </w:pPr>
      <w:r>
        <w:rPr>
          <w:rFonts w:hint="eastAsia" w:ascii="华文仿宋" w:hAnsi="华文仿宋" w:eastAsia="华文仿宋"/>
          <w:szCs w:val="32"/>
        </w:rPr>
        <w:t>罪犯袁加新</w:t>
      </w:r>
      <w:r>
        <w:rPr>
          <w:rFonts w:ascii="华文仿宋" w:hAnsi="华文仿宋" w:eastAsia="华文仿宋"/>
          <w:szCs w:val="32"/>
        </w:rPr>
        <w:fldChar w:fldCharType="begin"/>
      </w:r>
      <w:r>
        <w:rPr>
          <w:rFonts w:ascii="华文仿宋" w:hAnsi="华文仿宋" w:eastAsia="华文仿宋"/>
          <w:szCs w:val="32"/>
        </w:rPr>
        <w:instrText xml:space="preserve"> AUTOTEXTLIST  \* MERGEFORMAT </w:instrText>
      </w:r>
      <w:r>
        <w:rPr>
          <w:rFonts w:ascii="华文仿宋" w:hAnsi="华文仿宋" w:eastAsia="华文仿宋"/>
          <w:szCs w:val="32"/>
        </w:rPr>
        <w:fldChar w:fldCharType="end"/>
      </w:r>
      <w:r>
        <w:rPr>
          <w:rFonts w:hint="eastAsia" w:ascii="华文仿宋" w:hAnsi="华文仿宋" w:eastAsia="华文仿宋"/>
          <w:szCs w:val="32"/>
        </w:rPr>
        <w:t>，男，1975年10月10日出生，汉族，小学文化，户籍所在地江西省宜春市袁州区</w:t>
      </w:r>
      <w:bookmarkStart w:id="0" w:name="_GoBack"/>
      <w:bookmarkEnd w:id="0"/>
      <w:r>
        <w:rPr>
          <w:rFonts w:hint="eastAsia" w:ascii="华文仿宋" w:hAnsi="华文仿宋" w:eastAsia="华文仿宋"/>
          <w:szCs w:val="32"/>
        </w:rPr>
        <w:t>，捕前系务工。曾因犯盗窃罪于2007年12月25日被福建省厦门市翔安区人民法院判处有期徒刑十一个月，并处罚金人民币2000元，2008年5月9日刑满释放。因犯盗窃罪，于2013年4月20日被湖南省湘潭县人民法院判处有期徒刑七年，并处罚金人民币30000元，2016年9月30日予以假释，假释考验期限自2016年9月30日至2018年12月6日。系前科。</w:t>
      </w:r>
    </w:p>
    <w:p>
      <w:pPr>
        <w:spacing w:line="380" w:lineRule="exact"/>
        <w:ind w:firstLine="640" w:firstLineChars="200"/>
        <w:rPr>
          <w:rFonts w:ascii="华文仿宋" w:hAnsi="华文仿宋" w:eastAsia="华文仿宋"/>
          <w:szCs w:val="32"/>
        </w:rPr>
      </w:pPr>
      <w:r>
        <w:rPr>
          <w:rFonts w:hint="eastAsia" w:ascii="华文仿宋" w:hAnsi="华文仿宋" w:eastAsia="华文仿宋"/>
          <w:szCs w:val="32"/>
        </w:rPr>
        <w:t>湖南省湘潭县人民法院于2013年4月20日作出（2013）潭刑初字第90号刑事判决书，以被告人袁加新犯盗窃罪，判处有期徒刑七年，并处罚金人民币30000元。判决生效后交付湖南省茶陵监狱服刑。湖南省株洲市中级人民法院于2015年4月30日作出（2015）株中法刑执字第484号刑事裁定书，对罪犯袁加新减刑一年，刑期自2012年12月7日至2018年12月6日。湖南省株洲市中级人民法院于2016年9月30日作出（2016）湘02刑更1322号刑事裁定书，予以假释，假释考验期自2016年9月30日起至2018年12月6日止。假释期间，因余漏罪，福建省泉州市中级人民法院于2018年1月29日作出（2017）闽05刑初121号刑事判决，撤销湖南省株洲市中级人民法院对罪犯袁加新予以假释的刑事裁定，以被告人袁加新犯抢劫罪，判处无期徒刑，剥夺政治权利终身，没收个人全部财产；与前犯盗窃罪未执行完毕的有期徒刑及并处罚金并罚，决定执行无期徒刑，剥夺政治权利终身，没收个人全部财产，责令退出违法所得黄金项链一条及摩托罗拉V998手机一部。判决生效后，该犯不服，提出上诉。福建省高级人民法院于2018年4月28日作出(2018)闽刑终字167号刑事裁定，驳回上诉，维持原判。2018年7月25日交付漳州监狱执行刑罚。2022年4月26日，福建省高级人民法院以（2022）闽刑更169号刑事裁定，对罪犯袁加新减为有期徒刑二十二年，剥夺政治权利改为十年。2022年5月28日送达，现刑期至2044年4月25日止。</w:t>
      </w:r>
      <w:r>
        <w:rPr>
          <w:rFonts w:hint="eastAsia" w:ascii="华文仿宋" w:hAnsi="华文仿宋" w:eastAsia="华文仿宋"/>
          <w:color w:val="000000" w:themeColor="text1"/>
          <w:szCs w:val="32"/>
        </w:rPr>
        <w:t>属普管级罪犯。</w:t>
      </w:r>
    </w:p>
    <w:p>
      <w:pPr>
        <w:spacing w:line="380" w:lineRule="exact"/>
        <w:ind w:firstLine="640" w:firstLineChars="200"/>
        <w:rPr>
          <w:rFonts w:ascii="华文仿宋" w:hAnsi="华文仿宋" w:eastAsia="华文仿宋"/>
          <w:szCs w:val="32"/>
        </w:rPr>
      </w:pPr>
      <w:r>
        <w:rPr>
          <w:rFonts w:hint="eastAsia" w:ascii="华文仿宋" w:hAnsi="华文仿宋" w:eastAsia="华文仿宋"/>
          <w:szCs w:val="32"/>
        </w:rPr>
        <w:t>该犯自上次减刑以来确有悔改表现，具体事实如下：</w:t>
      </w:r>
    </w:p>
    <w:p>
      <w:pPr>
        <w:spacing w:line="380" w:lineRule="exact"/>
        <w:ind w:left="640" w:leftChars="200"/>
        <w:rPr>
          <w:rFonts w:ascii="华文仿宋" w:hAnsi="华文仿宋" w:eastAsia="华文仿宋"/>
          <w:iCs/>
          <w:szCs w:val="32"/>
        </w:rPr>
      </w:pPr>
      <w:r>
        <w:rPr>
          <w:rFonts w:hint="eastAsia" w:ascii="华文仿宋" w:hAnsi="华文仿宋" w:eastAsia="华文仿宋"/>
          <w:iCs/>
          <w:szCs w:val="32"/>
        </w:rPr>
        <w:t>认罪悔罪：能服从法院判决，自书认罪悔罪书。</w:t>
      </w:r>
    </w:p>
    <w:p>
      <w:pPr>
        <w:spacing w:line="380" w:lineRule="exact"/>
        <w:ind w:left="640" w:leftChars="200"/>
        <w:rPr>
          <w:rFonts w:ascii="华文仿宋" w:hAnsi="华文仿宋" w:eastAsia="华文仿宋"/>
          <w:iCs/>
          <w:szCs w:val="32"/>
        </w:rPr>
      </w:pPr>
      <w:r>
        <w:rPr>
          <w:rFonts w:hint="eastAsia" w:ascii="华文仿宋" w:hAnsi="华文仿宋" w:eastAsia="华文仿宋"/>
          <w:iCs/>
          <w:szCs w:val="32"/>
        </w:rPr>
        <w:t>遵守监规：能遵守法律法规及监规纪律，接受教育改造。</w:t>
      </w:r>
    </w:p>
    <w:p>
      <w:pPr>
        <w:spacing w:line="380" w:lineRule="exact"/>
        <w:ind w:left="640" w:leftChars="200"/>
        <w:rPr>
          <w:rFonts w:ascii="华文仿宋" w:hAnsi="华文仿宋" w:eastAsia="华文仿宋"/>
          <w:iCs/>
          <w:szCs w:val="32"/>
        </w:rPr>
      </w:pPr>
      <w:r>
        <w:rPr>
          <w:rFonts w:hint="eastAsia" w:ascii="华文仿宋" w:hAnsi="华文仿宋" w:eastAsia="华文仿宋"/>
          <w:iCs/>
          <w:szCs w:val="32"/>
        </w:rPr>
        <w:t>学习情况：能参加思想、文化、职业技术教育。</w:t>
      </w:r>
    </w:p>
    <w:p>
      <w:pPr>
        <w:spacing w:line="380" w:lineRule="exact"/>
        <w:ind w:left="640" w:leftChars="200"/>
        <w:rPr>
          <w:rFonts w:ascii="华文仿宋" w:hAnsi="华文仿宋" w:eastAsia="华文仿宋"/>
          <w:iCs/>
          <w:szCs w:val="32"/>
        </w:rPr>
      </w:pPr>
      <w:r>
        <w:rPr>
          <w:rFonts w:hint="eastAsia" w:ascii="华文仿宋" w:hAnsi="华文仿宋" w:eastAsia="华文仿宋"/>
          <w:iCs/>
          <w:szCs w:val="32"/>
        </w:rPr>
        <w:t>劳动改造：能参加劳动，努力完成劳动任务。</w:t>
      </w:r>
    </w:p>
    <w:p>
      <w:pPr>
        <w:spacing w:line="380" w:lineRule="exact"/>
        <w:ind w:firstLine="640" w:firstLineChars="200"/>
        <w:rPr>
          <w:rFonts w:ascii="华文仿宋" w:hAnsi="华文仿宋" w:eastAsia="华文仿宋"/>
          <w:color w:val="000000" w:themeColor="text1"/>
          <w:szCs w:val="32"/>
        </w:rPr>
      </w:pPr>
      <w:r>
        <w:rPr>
          <w:rFonts w:hint="eastAsia" w:ascii="华文仿宋" w:hAnsi="华文仿宋" w:eastAsia="华文仿宋"/>
          <w:iCs/>
          <w:szCs w:val="32"/>
        </w:rPr>
        <w:t>奖惩情况：</w:t>
      </w:r>
      <w:r>
        <w:rPr>
          <w:rFonts w:hint="eastAsia" w:ascii="华文仿宋" w:hAnsi="华文仿宋" w:eastAsia="华文仿宋"/>
          <w:color w:val="000000" w:themeColor="text1"/>
          <w:szCs w:val="32"/>
        </w:rPr>
        <w:t>该犯上次评定表扬剩余考核分342.5分，本轮考核期2021年10月起至</w:t>
      </w:r>
      <w:r>
        <w:rPr>
          <w:rFonts w:ascii="华文仿宋" w:hAnsi="华文仿宋" w:eastAsia="华文仿宋"/>
          <w:color w:val="000000" w:themeColor="text1"/>
          <w:szCs w:val="32"/>
        </w:rPr>
        <w:t>202</w:t>
      </w:r>
      <w:r>
        <w:rPr>
          <w:rFonts w:hint="eastAsia" w:ascii="华文仿宋" w:hAnsi="华文仿宋" w:eastAsia="华文仿宋"/>
          <w:color w:val="000000" w:themeColor="text1"/>
          <w:szCs w:val="32"/>
        </w:rPr>
        <w:t>4年7月累计获考核分3528分，合计获得3870.5分，表扬5次，物质奖励1次。间隔期</w:t>
      </w:r>
      <w:r>
        <w:rPr>
          <w:rFonts w:ascii="华文仿宋" w:hAnsi="华文仿宋" w:eastAsia="华文仿宋"/>
          <w:color w:val="000000" w:themeColor="text1"/>
          <w:szCs w:val="32"/>
        </w:rPr>
        <w:t>20</w:t>
      </w:r>
      <w:r>
        <w:rPr>
          <w:rFonts w:hint="eastAsia" w:ascii="华文仿宋" w:hAnsi="华文仿宋" w:eastAsia="华文仿宋"/>
          <w:color w:val="000000" w:themeColor="text1"/>
          <w:szCs w:val="32"/>
        </w:rPr>
        <w:t>22年5月28日起至</w:t>
      </w:r>
      <w:r>
        <w:rPr>
          <w:rFonts w:ascii="华文仿宋" w:hAnsi="华文仿宋" w:eastAsia="华文仿宋"/>
          <w:color w:val="000000" w:themeColor="text1"/>
          <w:szCs w:val="32"/>
        </w:rPr>
        <w:t>202</w:t>
      </w:r>
      <w:r>
        <w:rPr>
          <w:rFonts w:hint="eastAsia" w:ascii="华文仿宋" w:hAnsi="华文仿宋" w:eastAsia="华文仿宋"/>
          <w:color w:val="000000" w:themeColor="text1"/>
          <w:szCs w:val="32"/>
        </w:rPr>
        <w:t>4年7月，获得考核分2690分。考核期内无违规。</w:t>
      </w:r>
    </w:p>
    <w:p>
      <w:pPr>
        <w:spacing w:line="380" w:lineRule="exact"/>
        <w:ind w:firstLine="640" w:firstLineChars="200"/>
        <w:rPr>
          <w:rFonts w:ascii="华文仿宋" w:hAnsi="华文仿宋" w:eastAsia="华文仿宋"/>
          <w:color w:val="000000" w:themeColor="text1"/>
          <w:szCs w:val="32"/>
        </w:rPr>
      </w:pPr>
      <w:r>
        <w:rPr>
          <w:rFonts w:hint="eastAsia" w:ascii="华文仿宋" w:hAnsi="华文仿宋" w:eastAsia="华文仿宋"/>
          <w:color w:val="000000" w:themeColor="text1"/>
          <w:szCs w:val="32"/>
        </w:rPr>
        <w:t>原判财产性判项没收个人全部财产，责令退出违法所得黄金手链一条及摩托罗拉V98手机一部，已履行没收个人全部财产人民币1000元，其中本次履行向福建省泉州市中级人民法院履行人民币500元。该犯考核期月均消费人民币213.15元（不包括购买药品、报刊书籍等费用），账户可用余额人民币917.41元。福建省泉州市中级人民法院于2024年7月31日财产性判项复函载明：未发现被执行人袁加新有可供执行的财产。</w:t>
      </w:r>
    </w:p>
    <w:p>
      <w:pPr>
        <w:spacing w:line="380" w:lineRule="exact"/>
        <w:ind w:firstLine="640" w:firstLineChars="200"/>
        <w:rPr>
          <w:rFonts w:ascii="华文仿宋" w:hAnsi="华文仿宋" w:eastAsia="华文仿宋"/>
          <w:color w:val="000000" w:themeColor="text1"/>
          <w:szCs w:val="32"/>
        </w:rPr>
      </w:pPr>
      <w:r>
        <w:rPr>
          <w:rFonts w:hint="eastAsia" w:ascii="华文仿宋" w:hAnsi="华文仿宋" w:eastAsia="华文仿宋"/>
          <w:color w:val="000000" w:themeColor="text1"/>
          <w:szCs w:val="32"/>
        </w:rPr>
        <w:t>该犯系原判无期徒刑的暴力性犯罪罪犯及数罪并罚被判处无期徒刑罪犯，属从严对象，减刑幅度扣减一个月。</w:t>
      </w:r>
    </w:p>
    <w:p>
      <w:pPr>
        <w:spacing w:line="380" w:lineRule="exact"/>
        <w:ind w:firstLine="640" w:firstLineChars="200"/>
        <w:rPr>
          <w:rFonts w:ascii="华文仿宋" w:hAnsi="华文仿宋" w:eastAsia="华文仿宋"/>
          <w:szCs w:val="32"/>
        </w:rPr>
      </w:pPr>
      <w:r>
        <w:rPr>
          <w:rFonts w:hint="eastAsia" w:ascii="华文仿宋" w:hAnsi="华文仿宋" w:eastAsia="华文仿宋"/>
          <w:szCs w:val="32"/>
        </w:rPr>
        <w:t>本案于2024年10月16日至2024年10月22日在狱内公示未收到不同意见。</w:t>
      </w:r>
    </w:p>
    <w:p>
      <w:pPr>
        <w:pStyle w:val="2"/>
        <w:spacing w:line="380" w:lineRule="exact"/>
        <w:ind w:firstLine="640" w:firstLineChars="200"/>
        <w:rPr>
          <w:rFonts w:ascii="华文仿宋" w:hAnsi="华文仿宋" w:eastAsia="华文仿宋"/>
          <w:szCs w:val="32"/>
        </w:rPr>
      </w:pPr>
      <w:r>
        <w:rPr>
          <w:rFonts w:hint="eastAsia" w:ascii="华文仿宋" w:hAnsi="华文仿宋" w:eastAsia="华文仿宋"/>
          <w:szCs w:val="32"/>
        </w:rPr>
        <w:t>因此，依照《中华人民共和国刑法》第七十八条、第七十九条《中华人民共和国刑事诉讼法》第二百七十三条第二款、《中华人民共和国监狱法》第二十九条的规定，建议对罪犯袁加新予以减刑</w:t>
      </w:r>
      <w:r>
        <w:rPr>
          <w:rFonts w:hint="eastAsia" w:ascii="华文仿宋" w:hAnsi="华文仿宋" w:eastAsia="华文仿宋"/>
          <w:color w:val="000000" w:themeColor="text1"/>
          <w:szCs w:val="32"/>
        </w:rPr>
        <w:t>七个月，剥夺政治权利十年不变</w:t>
      </w:r>
      <w:r>
        <w:rPr>
          <w:rFonts w:hint="eastAsia" w:ascii="华文仿宋" w:hAnsi="华文仿宋" w:eastAsia="华文仿宋"/>
          <w:szCs w:val="32"/>
        </w:rPr>
        <w:t>。特提请你院审理裁定。</w:t>
      </w:r>
    </w:p>
    <w:p>
      <w:pPr>
        <w:pStyle w:val="2"/>
        <w:spacing w:line="380" w:lineRule="exact"/>
        <w:ind w:right="-48" w:rightChars="-15" w:firstLine="614" w:firstLineChars="192"/>
        <w:rPr>
          <w:rFonts w:ascii="华文仿宋" w:hAnsi="华文仿宋" w:eastAsia="华文仿宋"/>
          <w:szCs w:val="32"/>
        </w:rPr>
      </w:pPr>
      <w:r>
        <w:rPr>
          <w:rFonts w:hint="eastAsia" w:ascii="华文仿宋" w:hAnsi="华文仿宋" w:eastAsia="华文仿宋"/>
          <w:szCs w:val="32"/>
        </w:rPr>
        <w:t>此致</w:t>
      </w:r>
    </w:p>
    <w:p>
      <w:pPr>
        <w:spacing w:line="380" w:lineRule="exact"/>
        <w:ind w:right="-48" w:rightChars="-15"/>
        <w:rPr>
          <w:rFonts w:ascii="华文仿宋" w:hAnsi="华文仿宋" w:eastAsia="华文仿宋"/>
          <w:szCs w:val="32"/>
        </w:rPr>
      </w:pPr>
      <w:r>
        <w:rPr>
          <w:rFonts w:hint="eastAsia" w:ascii="华文仿宋" w:hAnsi="华文仿宋" w:eastAsia="华文仿宋"/>
          <w:szCs w:val="32"/>
        </w:rPr>
        <w:t>福建省漳州市中级人民法院</w:t>
      </w:r>
    </w:p>
    <w:p>
      <w:pPr>
        <w:spacing w:line="380" w:lineRule="exact"/>
        <w:ind w:firstLine="640" w:firstLineChars="200"/>
        <w:rPr>
          <w:rFonts w:ascii="华文仿宋" w:hAnsi="华文仿宋" w:eastAsia="华文仿宋" w:cs="仿宋_GB2312"/>
          <w:szCs w:val="32"/>
        </w:rPr>
      </w:pPr>
      <w:r>
        <w:rPr>
          <w:rFonts w:hint="eastAsia" w:ascii="华文仿宋" w:hAnsi="华文仿宋" w:eastAsia="华文仿宋" w:cs="仿宋_GB2312"/>
          <w:szCs w:val="32"/>
        </w:rPr>
        <w:t>附件：⒈罪犯袁加新卷宗二册</w:t>
      </w:r>
    </w:p>
    <w:p>
      <w:pPr>
        <w:spacing w:line="380" w:lineRule="exact"/>
        <w:ind w:right="-48" w:rightChars="-15" w:firstLine="1600" w:firstLineChars="500"/>
        <w:rPr>
          <w:rFonts w:ascii="华文仿宋" w:hAnsi="华文仿宋" w:eastAsia="华文仿宋" w:cs="仿宋_GB2312"/>
          <w:szCs w:val="32"/>
        </w:rPr>
      </w:pPr>
      <w:r>
        <w:rPr>
          <w:rFonts w:hint="eastAsia" w:ascii="华文仿宋" w:hAnsi="华文仿宋" w:eastAsia="华文仿宋" w:cs="仿宋_GB2312"/>
          <w:szCs w:val="32"/>
        </w:rPr>
        <w:t>⒉减刑建议书二份</w:t>
      </w:r>
    </w:p>
    <w:p>
      <w:pPr>
        <w:spacing w:line="380" w:lineRule="exact"/>
        <w:ind w:right="1213" w:rightChars="379" w:firstLine="614" w:firstLineChars="192"/>
        <w:jc w:val="right"/>
        <w:rPr>
          <w:rFonts w:ascii="华文仿宋" w:hAnsi="华文仿宋" w:eastAsia="华文仿宋"/>
          <w:szCs w:val="32"/>
        </w:rPr>
      </w:pPr>
      <w:r>
        <w:rPr>
          <w:rFonts w:hint="eastAsia" w:ascii="华文仿宋" w:hAnsi="华文仿宋" w:eastAsia="华文仿宋"/>
          <w:szCs w:val="32"/>
        </w:rPr>
        <w:t>福建省漳州监狱</w:t>
      </w:r>
    </w:p>
    <w:p>
      <w:pPr>
        <w:spacing w:line="380" w:lineRule="exact"/>
        <w:ind w:right="1280" w:rightChars="400"/>
        <w:jc w:val="right"/>
        <w:rPr>
          <w:rFonts w:ascii="华文仿宋" w:hAnsi="华文仿宋" w:eastAsia="华文仿宋"/>
          <w:szCs w:val="32"/>
        </w:rPr>
      </w:pPr>
      <w:r>
        <w:rPr>
          <w:rFonts w:hint="eastAsia" w:ascii="华文仿宋" w:hAnsi="华文仿宋" w:eastAsia="华文仿宋"/>
          <w:szCs w:val="32"/>
        </w:rPr>
        <w:t>2024年10月28日</w:t>
      </w:r>
    </w:p>
    <w:sectPr>
      <w:pgSz w:w="11906" w:h="16838"/>
      <w:pgMar w:top="1440" w:right="1800" w:bottom="1440" w:left="1800"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NotTrackMoves/>
  <w:documentProtection w:enforcement="0"/>
  <w:defaultTabStop w:val="420"/>
  <w:evenAndOddHeaders w:val="1"/>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0256"/>
    <w:rsid w:val="00006D8A"/>
    <w:rsid w:val="000365A6"/>
    <w:rsid w:val="00042500"/>
    <w:rsid w:val="00043549"/>
    <w:rsid w:val="00051CCF"/>
    <w:rsid w:val="00057009"/>
    <w:rsid w:val="00060B9D"/>
    <w:rsid w:val="00083AAD"/>
    <w:rsid w:val="000A1D32"/>
    <w:rsid w:val="000A2873"/>
    <w:rsid w:val="000A3B62"/>
    <w:rsid w:val="000A484B"/>
    <w:rsid w:val="000A709E"/>
    <w:rsid w:val="000B5675"/>
    <w:rsid w:val="000B609B"/>
    <w:rsid w:val="000B6F49"/>
    <w:rsid w:val="000D4451"/>
    <w:rsid w:val="000D4EFD"/>
    <w:rsid w:val="000E28CF"/>
    <w:rsid w:val="000E68A0"/>
    <w:rsid w:val="001015E2"/>
    <w:rsid w:val="00120602"/>
    <w:rsid w:val="00126C9C"/>
    <w:rsid w:val="001321B4"/>
    <w:rsid w:val="00146A10"/>
    <w:rsid w:val="001501AC"/>
    <w:rsid w:val="001579F4"/>
    <w:rsid w:val="00176CFC"/>
    <w:rsid w:val="00183361"/>
    <w:rsid w:val="0018651B"/>
    <w:rsid w:val="001911F6"/>
    <w:rsid w:val="00197343"/>
    <w:rsid w:val="001A440A"/>
    <w:rsid w:val="001A5222"/>
    <w:rsid w:val="001B5614"/>
    <w:rsid w:val="001C62FC"/>
    <w:rsid w:val="001F1247"/>
    <w:rsid w:val="001F5645"/>
    <w:rsid w:val="00216405"/>
    <w:rsid w:val="002169DE"/>
    <w:rsid w:val="00224D55"/>
    <w:rsid w:val="00226C06"/>
    <w:rsid w:val="00233911"/>
    <w:rsid w:val="00235229"/>
    <w:rsid w:val="00243D9B"/>
    <w:rsid w:val="00244CE7"/>
    <w:rsid w:val="0024503F"/>
    <w:rsid w:val="00246029"/>
    <w:rsid w:val="00256EE7"/>
    <w:rsid w:val="0026774D"/>
    <w:rsid w:val="0026792B"/>
    <w:rsid w:val="002713AE"/>
    <w:rsid w:val="00282BC3"/>
    <w:rsid w:val="00284D4F"/>
    <w:rsid w:val="00297220"/>
    <w:rsid w:val="002A12B8"/>
    <w:rsid w:val="002A30E5"/>
    <w:rsid w:val="002A7D3D"/>
    <w:rsid w:val="002C3B78"/>
    <w:rsid w:val="002D696D"/>
    <w:rsid w:val="002D7DE1"/>
    <w:rsid w:val="002F6D13"/>
    <w:rsid w:val="003035D1"/>
    <w:rsid w:val="00305133"/>
    <w:rsid w:val="00312972"/>
    <w:rsid w:val="0031419C"/>
    <w:rsid w:val="003207F2"/>
    <w:rsid w:val="0032792D"/>
    <w:rsid w:val="003279CD"/>
    <w:rsid w:val="00341C44"/>
    <w:rsid w:val="00346D0F"/>
    <w:rsid w:val="00350242"/>
    <w:rsid w:val="0036217E"/>
    <w:rsid w:val="003748DE"/>
    <w:rsid w:val="0038184D"/>
    <w:rsid w:val="00386AE6"/>
    <w:rsid w:val="00387D4A"/>
    <w:rsid w:val="0039122F"/>
    <w:rsid w:val="003A08C3"/>
    <w:rsid w:val="003A63A1"/>
    <w:rsid w:val="003B240A"/>
    <w:rsid w:val="003B260F"/>
    <w:rsid w:val="003B2A84"/>
    <w:rsid w:val="003B70AD"/>
    <w:rsid w:val="003C08D8"/>
    <w:rsid w:val="003C7AB2"/>
    <w:rsid w:val="003D65EE"/>
    <w:rsid w:val="003D6698"/>
    <w:rsid w:val="003D6DE4"/>
    <w:rsid w:val="003F3080"/>
    <w:rsid w:val="00400E8D"/>
    <w:rsid w:val="00403EC7"/>
    <w:rsid w:val="0041627A"/>
    <w:rsid w:val="00425293"/>
    <w:rsid w:val="00425BC2"/>
    <w:rsid w:val="004443E4"/>
    <w:rsid w:val="00445F91"/>
    <w:rsid w:val="004660C1"/>
    <w:rsid w:val="00496E74"/>
    <w:rsid w:val="004A34FF"/>
    <w:rsid w:val="004B12A6"/>
    <w:rsid w:val="004B556B"/>
    <w:rsid w:val="004C5184"/>
    <w:rsid w:val="004D3F99"/>
    <w:rsid w:val="004F5690"/>
    <w:rsid w:val="004F713F"/>
    <w:rsid w:val="00503629"/>
    <w:rsid w:val="005102BD"/>
    <w:rsid w:val="0052748E"/>
    <w:rsid w:val="00551FAA"/>
    <w:rsid w:val="00554751"/>
    <w:rsid w:val="00557411"/>
    <w:rsid w:val="00564992"/>
    <w:rsid w:val="00571336"/>
    <w:rsid w:val="005878C9"/>
    <w:rsid w:val="005C00F1"/>
    <w:rsid w:val="005C0751"/>
    <w:rsid w:val="005C14FE"/>
    <w:rsid w:val="005C5565"/>
    <w:rsid w:val="005E6340"/>
    <w:rsid w:val="00610377"/>
    <w:rsid w:val="00620934"/>
    <w:rsid w:val="006305BB"/>
    <w:rsid w:val="00634E46"/>
    <w:rsid w:val="00636F65"/>
    <w:rsid w:val="00644838"/>
    <w:rsid w:val="00650256"/>
    <w:rsid w:val="00663403"/>
    <w:rsid w:val="00672196"/>
    <w:rsid w:val="006723D6"/>
    <w:rsid w:val="006813E1"/>
    <w:rsid w:val="00684881"/>
    <w:rsid w:val="00690BD9"/>
    <w:rsid w:val="006B39CA"/>
    <w:rsid w:val="006C395D"/>
    <w:rsid w:val="006C5B4D"/>
    <w:rsid w:val="006D5FEF"/>
    <w:rsid w:val="006E71FD"/>
    <w:rsid w:val="006F157C"/>
    <w:rsid w:val="006F66DD"/>
    <w:rsid w:val="0070160E"/>
    <w:rsid w:val="007106FD"/>
    <w:rsid w:val="007132BA"/>
    <w:rsid w:val="00733BD9"/>
    <w:rsid w:val="00747A07"/>
    <w:rsid w:val="00753D2F"/>
    <w:rsid w:val="00760A0E"/>
    <w:rsid w:val="00762909"/>
    <w:rsid w:val="00766194"/>
    <w:rsid w:val="007702C3"/>
    <w:rsid w:val="00774BC1"/>
    <w:rsid w:val="00784C78"/>
    <w:rsid w:val="007854A1"/>
    <w:rsid w:val="007862CE"/>
    <w:rsid w:val="007875E9"/>
    <w:rsid w:val="007A16A6"/>
    <w:rsid w:val="007B3E31"/>
    <w:rsid w:val="007D0932"/>
    <w:rsid w:val="007D6EFC"/>
    <w:rsid w:val="007F1F70"/>
    <w:rsid w:val="0080057D"/>
    <w:rsid w:val="0080331B"/>
    <w:rsid w:val="00803DA2"/>
    <w:rsid w:val="00814990"/>
    <w:rsid w:val="0081605E"/>
    <w:rsid w:val="00832B51"/>
    <w:rsid w:val="00834015"/>
    <w:rsid w:val="008377AC"/>
    <w:rsid w:val="00840A5F"/>
    <w:rsid w:val="00855A90"/>
    <w:rsid w:val="008564F8"/>
    <w:rsid w:val="008658FB"/>
    <w:rsid w:val="00865B20"/>
    <w:rsid w:val="008675AA"/>
    <w:rsid w:val="008765BD"/>
    <w:rsid w:val="0088069D"/>
    <w:rsid w:val="00884317"/>
    <w:rsid w:val="008A2033"/>
    <w:rsid w:val="008B4110"/>
    <w:rsid w:val="008B41DD"/>
    <w:rsid w:val="008B7A89"/>
    <w:rsid w:val="008C331E"/>
    <w:rsid w:val="008D6AD3"/>
    <w:rsid w:val="008F4FAC"/>
    <w:rsid w:val="008F516E"/>
    <w:rsid w:val="00902D3B"/>
    <w:rsid w:val="00910334"/>
    <w:rsid w:val="00916AFD"/>
    <w:rsid w:val="00917B39"/>
    <w:rsid w:val="0093643F"/>
    <w:rsid w:val="00940B95"/>
    <w:rsid w:val="00947453"/>
    <w:rsid w:val="009549EA"/>
    <w:rsid w:val="00957579"/>
    <w:rsid w:val="00974757"/>
    <w:rsid w:val="009747BB"/>
    <w:rsid w:val="0097569A"/>
    <w:rsid w:val="00975BE9"/>
    <w:rsid w:val="009764E6"/>
    <w:rsid w:val="00981225"/>
    <w:rsid w:val="009814AD"/>
    <w:rsid w:val="00995546"/>
    <w:rsid w:val="00997E8D"/>
    <w:rsid w:val="009B1171"/>
    <w:rsid w:val="009C68D8"/>
    <w:rsid w:val="009C7DA8"/>
    <w:rsid w:val="009D5C5E"/>
    <w:rsid w:val="009E1A96"/>
    <w:rsid w:val="009E4CCD"/>
    <w:rsid w:val="009F70BB"/>
    <w:rsid w:val="00A00DA9"/>
    <w:rsid w:val="00A01EC5"/>
    <w:rsid w:val="00A05768"/>
    <w:rsid w:val="00A137F5"/>
    <w:rsid w:val="00A14AF7"/>
    <w:rsid w:val="00A15A63"/>
    <w:rsid w:val="00A36EDB"/>
    <w:rsid w:val="00A37B18"/>
    <w:rsid w:val="00A526A6"/>
    <w:rsid w:val="00A53EF2"/>
    <w:rsid w:val="00A70F65"/>
    <w:rsid w:val="00A91C76"/>
    <w:rsid w:val="00A92488"/>
    <w:rsid w:val="00AA4D2A"/>
    <w:rsid w:val="00AA583A"/>
    <w:rsid w:val="00AA6513"/>
    <w:rsid w:val="00AB6D1A"/>
    <w:rsid w:val="00AC0F7C"/>
    <w:rsid w:val="00AD1D68"/>
    <w:rsid w:val="00AE35FE"/>
    <w:rsid w:val="00AF0B5A"/>
    <w:rsid w:val="00AF5787"/>
    <w:rsid w:val="00B01500"/>
    <w:rsid w:val="00B1367D"/>
    <w:rsid w:val="00B17AC3"/>
    <w:rsid w:val="00B2459C"/>
    <w:rsid w:val="00B52EAD"/>
    <w:rsid w:val="00B54959"/>
    <w:rsid w:val="00B54E43"/>
    <w:rsid w:val="00B5797E"/>
    <w:rsid w:val="00B63312"/>
    <w:rsid w:val="00B67FB7"/>
    <w:rsid w:val="00B719D1"/>
    <w:rsid w:val="00B72801"/>
    <w:rsid w:val="00B770DB"/>
    <w:rsid w:val="00B84166"/>
    <w:rsid w:val="00B86762"/>
    <w:rsid w:val="00B94DC5"/>
    <w:rsid w:val="00B955AE"/>
    <w:rsid w:val="00BD5377"/>
    <w:rsid w:val="00BD717D"/>
    <w:rsid w:val="00BE28CF"/>
    <w:rsid w:val="00BE60B1"/>
    <w:rsid w:val="00BE69F2"/>
    <w:rsid w:val="00BE7C09"/>
    <w:rsid w:val="00BF19A2"/>
    <w:rsid w:val="00BF2057"/>
    <w:rsid w:val="00BF219A"/>
    <w:rsid w:val="00C02ACD"/>
    <w:rsid w:val="00C07583"/>
    <w:rsid w:val="00C07BA2"/>
    <w:rsid w:val="00C10D7E"/>
    <w:rsid w:val="00C11344"/>
    <w:rsid w:val="00C16153"/>
    <w:rsid w:val="00C2694F"/>
    <w:rsid w:val="00C2725C"/>
    <w:rsid w:val="00C432D8"/>
    <w:rsid w:val="00C474CC"/>
    <w:rsid w:val="00C53C1F"/>
    <w:rsid w:val="00C555B9"/>
    <w:rsid w:val="00C607BA"/>
    <w:rsid w:val="00C607E0"/>
    <w:rsid w:val="00C60997"/>
    <w:rsid w:val="00C615F1"/>
    <w:rsid w:val="00C70432"/>
    <w:rsid w:val="00C71F31"/>
    <w:rsid w:val="00C731B9"/>
    <w:rsid w:val="00C76179"/>
    <w:rsid w:val="00C87292"/>
    <w:rsid w:val="00C910BB"/>
    <w:rsid w:val="00C95C97"/>
    <w:rsid w:val="00CA0248"/>
    <w:rsid w:val="00CA37D5"/>
    <w:rsid w:val="00CD3353"/>
    <w:rsid w:val="00CD7CDC"/>
    <w:rsid w:val="00D1173B"/>
    <w:rsid w:val="00D15BCE"/>
    <w:rsid w:val="00D2209C"/>
    <w:rsid w:val="00D24A35"/>
    <w:rsid w:val="00D34B28"/>
    <w:rsid w:val="00D46141"/>
    <w:rsid w:val="00D47486"/>
    <w:rsid w:val="00D6784D"/>
    <w:rsid w:val="00D74AAA"/>
    <w:rsid w:val="00D75218"/>
    <w:rsid w:val="00D82B0F"/>
    <w:rsid w:val="00D97485"/>
    <w:rsid w:val="00DA2117"/>
    <w:rsid w:val="00DB150A"/>
    <w:rsid w:val="00DB170F"/>
    <w:rsid w:val="00DB347E"/>
    <w:rsid w:val="00DB7A6A"/>
    <w:rsid w:val="00DC082D"/>
    <w:rsid w:val="00DC0A6C"/>
    <w:rsid w:val="00DC23A0"/>
    <w:rsid w:val="00DD1D75"/>
    <w:rsid w:val="00DE55F6"/>
    <w:rsid w:val="00E079AA"/>
    <w:rsid w:val="00E45F0E"/>
    <w:rsid w:val="00E55CD4"/>
    <w:rsid w:val="00E65A63"/>
    <w:rsid w:val="00E835B5"/>
    <w:rsid w:val="00E9439D"/>
    <w:rsid w:val="00EB4F40"/>
    <w:rsid w:val="00EB5681"/>
    <w:rsid w:val="00EC73BF"/>
    <w:rsid w:val="00F074B9"/>
    <w:rsid w:val="00F079B0"/>
    <w:rsid w:val="00F13991"/>
    <w:rsid w:val="00F1616D"/>
    <w:rsid w:val="00F24D66"/>
    <w:rsid w:val="00F50EB7"/>
    <w:rsid w:val="00F60300"/>
    <w:rsid w:val="00F640F4"/>
    <w:rsid w:val="00F65009"/>
    <w:rsid w:val="00F65C83"/>
    <w:rsid w:val="00F83773"/>
    <w:rsid w:val="00F83EF5"/>
    <w:rsid w:val="00F919E0"/>
    <w:rsid w:val="00F952D3"/>
    <w:rsid w:val="00FA6A04"/>
    <w:rsid w:val="00FB0296"/>
    <w:rsid w:val="00FB47C4"/>
    <w:rsid w:val="00FB508F"/>
    <w:rsid w:val="00FC1E5A"/>
    <w:rsid w:val="00FC5DBD"/>
    <w:rsid w:val="00FD5AA5"/>
    <w:rsid w:val="00FE3826"/>
    <w:rsid w:val="7C05100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uiPriority w:val="99"/>
  </w:style>
  <w:style w:type="paragraph" w:styleId="3">
    <w:name w:val="footer"/>
    <w:basedOn w:val="1"/>
    <w:link w:val="8"/>
    <w:semiHidden/>
    <w:uiPriority w:val="99"/>
    <w:pPr>
      <w:tabs>
        <w:tab w:val="center" w:pos="4153"/>
        <w:tab w:val="right" w:pos="8306"/>
      </w:tabs>
      <w:snapToGrid w:val="0"/>
      <w:jc w:val="left"/>
    </w:pPr>
    <w:rPr>
      <w:rFonts w:eastAsia="宋体"/>
      <w:kern w:val="2"/>
      <w:sz w:val="18"/>
      <w:szCs w:val="18"/>
    </w:rPr>
  </w:style>
  <w:style w:type="paragraph" w:styleId="4">
    <w:name w:val="header"/>
    <w:basedOn w:val="1"/>
    <w:link w:val="7"/>
    <w:semiHidden/>
    <w:uiPriority w:val="99"/>
    <w:pPr>
      <w:pBdr>
        <w:bottom w:val="single" w:color="auto" w:sz="6" w:space="1"/>
      </w:pBdr>
      <w:tabs>
        <w:tab w:val="center" w:pos="4153"/>
        <w:tab w:val="right" w:pos="8306"/>
      </w:tabs>
      <w:snapToGrid w:val="0"/>
      <w:jc w:val="center"/>
    </w:pPr>
    <w:rPr>
      <w:rFonts w:eastAsia="宋体"/>
      <w:kern w:val="2"/>
      <w:sz w:val="18"/>
      <w:szCs w:val="18"/>
    </w:rPr>
  </w:style>
  <w:style w:type="character" w:customStyle="1" w:styleId="7">
    <w:name w:val="页眉 Char"/>
    <w:basedOn w:val="6"/>
    <w:link w:val="4"/>
    <w:semiHidden/>
    <w:locked/>
    <w:uiPriority w:val="99"/>
    <w:rPr>
      <w:rFonts w:cs="Times New Roman"/>
      <w:sz w:val="18"/>
      <w:szCs w:val="18"/>
    </w:rPr>
  </w:style>
  <w:style w:type="character" w:customStyle="1" w:styleId="8">
    <w:name w:val="页脚 Char"/>
    <w:basedOn w:val="6"/>
    <w:link w:val="3"/>
    <w:semiHidden/>
    <w:locked/>
    <w:uiPriority w:val="99"/>
    <w:rPr>
      <w:rFonts w:cs="Times New Roman"/>
      <w:sz w:val="18"/>
      <w:szCs w:val="18"/>
    </w:rPr>
  </w:style>
  <w:style w:type="character" w:customStyle="1" w:styleId="9">
    <w:name w:val="称呼 Char"/>
    <w:basedOn w:val="6"/>
    <w:link w:val="2"/>
    <w:locked/>
    <w:uiPriority w:val="99"/>
    <w:rPr>
      <w:rFonts w:ascii="Calibri" w:hAnsi="Calibri" w:eastAsia="仿宋_GB2312" w:cs="Times New Roman"/>
      <w:kern w:val="32"/>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250</Words>
  <Characters>1426</Characters>
  <Lines>11</Lines>
  <Paragraphs>3</Paragraphs>
  <TotalTime>1054</TotalTime>
  <ScaleCrop>false</ScaleCrop>
  <LinksUpToDate>false</LinksUpToDate>
  <CharactersWithSpaces>1673</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2021-03-26T09:09:00Z</dcterms:created>
  <dc:creator>微软用户</dc:creator>
  <cp:lastModifiedBy>Administrator</cp:lastModifiedBy>
  <cp:lastPrinted>2022-08-13T02:34:00Z</cp:lastPrinted>
  <dcterms:modified xsi:type="dcterms:W3CDTF">2024-10-31T09:32:07Z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CF67AECFBC0441AA98A8224A3DA05E1D</vt:lpwstr>
  </property>
</Properties>
</file>