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ascii="楷体_GB2312" w:hAnsi="Times New Roman" w:eastAsia="楷体_GB2312" w:cs="楷体_GB2312"/>
          <w:szCs w:val="32"/>
        </w:rPr>
        <w:t>2024</w:t>
      </w:r>
      <w:r>
        <w:rPr>
          <w:rFonts w:hint="eastAsia" w:ascii="Times New Roman" w:hAnsi="Times New Roman" w:eastAsia="楷体_GB2312" w:cs="楷体_GB2312"/>
          <w:szCs w:val="32"/>
        </w:rPr>
        <w:t>〕闽漳狱减字第</w:t>
      </w:r>
      <w:r>
        <w:rPr>
          <w:rFonts w:hint="eastAsia" w:ascii="楷体_GB2312" w:hAnsi="Times New Roman" w:eastAsia="楷体_GB2312" w:cs="楷体_GB2312"/>
          <w:szCs w:val="32"/>
        </w:rPr>
        <w:t>684</w:t>
      </w:r>
      <w:r>
        <w:rPr>
          <w:rFonts w:hint="eastAsia" w:ascii="Times New Roman" w:hAnsi="Times New Roman" w:eastAsia="楷体_GB2312" w:cs="楷体_GB2312"/>
          <w:szCs w:val="32"/>
        </w:rPr>
        <w:t>号</w:t>
      </w:r>
    </w:p>
    <w:p>
      <w:pPr>
        <w:spacing w:line="500" w:lineRule="exact"/>
        <w:ind w:firstLine="640" w:firstLineChars="200"/>
        <w:rPr>
          <w:rFonts w:ascii="仿宋_GB2312" w:hAnsi="Times New Roman"/>
          <w:szCs w:val="32"/>
        </w:rPr>
      </w:pPr>
      <w:r>
        <w:rPr>
          <w:rFonts w:hint="eastAsia" w:ascii="仿宋_GB2312" w:hAnsi="Times New Roman"/>
          <w:szCs w:val="32"/>
        </w:rPr>
        <w:t>罪犯刘晨晖</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，男，2003年3月8日出生，汉族，高中文化，户籍所在地</w:t>
      </w:r>
      <w:r>
        <w:rPr>
          <w:rFonts w:hint="eastAsia" w:ascii="仿宋_GB2312" w:hAnsi="仿宋" w:cs="仿宋_GB2312"/>
          <w:szCs w:val="32"/>
        </w:rPr>
        <w:t>福建省南靖县</w:t>
      </w:r>
      <w:bookmarkStart w:id="0" w:name="_GoBack"/>
      <w:bookmarkEnd w:id="0"/>
      <w:r>
        <w:rPr>
          <w:rFonts w:hint="eastAsia" w:ascii="仿宋_GB2312" w:hAnsi="Times New Roman"/>
          <w:szCs w:val="32"/>
        </w:rPr>
        <w:t>，捕前系无业。</w:t>
      </w:r>
    </w:p>
    <w:p>
      <w:pPr>
        <w:spacing w:line="500" w:lineRule="exact"/>
        <w:ind w:firstLine="640" w:firstLineChars="200"/>
        <w:rPr>
          <w:rFonts w:ascii="仿宋_GB2312" w:hAnsi="Times New Roman"/>
          <w:szCs w:val="32"/>
        </w:rPr>
      </w:pPr>
      <w:r>
        <w:rPr>
          <w:rFonts w:hint="eastAsia" w:ascii="仿宋_GB2312" w:hAnsi="仿宋" w:cs="仿宋_GB2312"/>
          <w:color w:val="000000" w:themeColor="text1"/>
          <w:szCs w:val="32"/>
        </w:rPr>
        <w:t>福建省南靖县人民法院于2023年10月26日</w:t>
      </w:r>
      <w:r>
        <w:rPr>
          <w:rFonts w:hint="eastAsia" w:ascii="仿宋_GB2312" w:hAnsi="Times New Roman"/>
          <w:color w:val="000000" w:themeColor="text1"/>
          <w:szCs w:val="32"/>
        </w:rPr>
        <w:t>作出</w:t>
      </w:r>
      <w:r>
        <w:rPr>
          <w:rFonts w:hint="eastAsia" w:ascii="仿宋_GB2312" w:hAnsi="仿宋" w:cs="仿宋_GB2312"/>
          <w:color w:val="000000" w:themeColor="text1"/>
          <w:szCs w:val="32"/>
        </w:rPr>
        <w:t>(2023)闽0627刑初272号刑事判决</w:t>
      </w:r>
      <w:r>
        <w:rPr>
          <w:rFonts w:hint="eastAsia" w:ascii="仿宋_GB2312" w:hAnsi="Times New Roman"/>
          <w:color w:val="000000" w:themeColor="text1"/>
          <w:szCs w:val="32"/>
        </w:rPr>
        <w:t>，以被告人刘晨晖犯</w:t>
      </w:r>
      <w:r>
        <w:rPr>
          <w:rFonts w:hint="eastAsia" w:ascii="仿宋_GB2312" w:hAnsi="仿宋" w:cs="仿宋_GB2312"/>
          <w:color w:val="000000" w:themeColor="text1"/>
          <w:szCs w:val="32"/>
        </w:rPr>
        <w:t>聚众斗殴罪，判处有期徒刑一年六个月</w:t>
      </w:r>
      <w:r>
        <w:rPr>
          <w:rFonts w:hint="eastAsia" w:ascii="仿宋_GB2312" w:hAnsi="Times New Roman"/>
          <w:color w:val="000000" w:themeColor="text1"/>
          <w:szCs w:val="32"/>
        </w:rPr>
        <w:t>。刑期自2023年10月26日起至2025年3月21日止。</w:t>
      </w:r>
      <w:r>
        <w:rPr>
          <w:rFonts w:hint="eastAsia" w:ascii="仿宋_GB2312" w:hAnsi="仿宋" w:cs="仿宋_GB2312"/>
          <w:color w:val="000000" w:themeColor="text1"/>
          <w:szCs w:val="32"/>
        </w:rPr>
        <w:t>2023年11月20日交付福建省漳州监狱执行刑罚。</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该犯考核期内虽有违规，但经民警教育后，能认识到错误，有悔改表现，本次提请前能遵守法律法规及监规纪律，接受教育改造。</w:t>
      </w:r>
    </w:p>
    <w:p>
      <w:pPr>
        <w:pStyle w:val="10"/>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430" w:lineRule="exact"/>
        <w:ind w:firstLine="640"/>
        <w:rPr>
          <w:rFonts w:ascii="仿宋_GB2312" w:hAnsi="仿宋_GB2312" w:cs="仿宋_GB2312"/>
          <w:bCs/>
          <w:szCs w:val="32"/>
        </w:rPr>
      </w:pPr>
      <w:r>
        <w:rPr>
          <w:rFonts w:hint="eastAsia" w:ascii="仿宋_GB2312" w:hAnsi="仿宋" w:cs="宋体"/>
          <w:szCs w:val="32"/>
          <w:lang w:val="zh-CN"/>
        </w:rPr>
        <w:t>奖惩情况：</w:t>
      </w:r>
      <w:r>
        <w:rPr>
          <w:rFonts w:hint="eastAsia" w:ascii="仿宋_GB2312" w:hAnsi="仿宋_GB2312" w:cs="仿宋_GB2312"/>
          <w:bCs/>
          <w:szCs w:val="32"/>
        </w:rPr>
        <w:t>该犯考核期2023年11月20日至2024年9月累计获考核分838分，物质奖励1次；考核期内共违规2次，累计扣考核分2分，无重大违规。</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该犯系判决生效后剩余刑期一年三个月以上不满二年有期徒刑的罪犯。</w:t>
      </w:r>
    </w:p>
    <w:p>
      <w:pPr>
        <w:spacing w:line="430" w:lineRule="exact"/>
        <w:ind w:firstLine="640" w:firstLineChars="200"/>
        <w:rPr>
          <w:szCs w:val="32"/>
        </w:rPr>
      </w:pPr>
      <w:r>
        <w:rPr>
          <w:rFonts w:hint="eastAsia" w:ascii="仿宋_GB2312"/>
          <w:szCs w:val="32"/>
        </w:rPr>
        <w:t>本案于2024年12月20日至2024年12月26日在狱内公示未收到不同意见。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刘晨晖予以减刑二个月。特提请你院审理裁定。</w:t>
      </w:r>
    </w:p>
    <w:p>
      <w:pPr>
        <w:pStyle w:val="2"/>
        <w:spacing w:line="430" w:lineRule="exact"/>
        <w:ind w:right="-48" w:rightChars="-15" w:firstLine="640" w:firstLineChars="200"/>
        <w:rPr>
          <w:szCs w:val="32"/>
        </w:rPr>
      </w:pPr>
      <w:r>
        <w:rPr>
          <w:rFonts w:hint="eastAsia"/>
          <w:szCs w:val="32"/>
        </w:rPr>
        <w:t>此致</w:t>
      </w:r>
    </w:p>
    <w:p>
      <w:pPr>
        <w:spacing w:line="500" w:lineRule="exact"/>
        <w:ind w:right="-48" w:rightChars="-15"/>
        <w:rPr>
          <w:rFonts w:ascii="仿宋_GB2312" w:hAnsi="Times New Roman"/>
          <w:szCs w:val="32"/>
        </w:rPr>
      </w:pPr>
      <w:r>
        <w:rPr>
          <w:rFonts w:hint="eastAsia" w:ascii="仿宋_GB2312" w:hAnsi="Times New Roman"/>
          <w:szCs w:val="32"/>
        </w:rPr>
        <w:t>福建省漳州市中级人民法院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附件：⒈罪犯刘晨晖卷宗二册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 xml:space="preserve">  2024年12月30日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46CAC"/>
    <w:rsid w:val="00A46CAC"/>
    <w:rsid w:val="00BF2836"/>
    <w:rsid w:val="00FD4283"/>
    <w:rsid w:val="279B0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称呼 Char"/>
    <w:basedOn w:val="6"/>
    <w:link w:val="2"/>
    <w:qFormat/>
    <w:uiPriority w:val="99"/>
    <w:rPr>
      <w:rFonts w:ascii="Calibri" w:hAnsi="Calibri" w:eastAsia="仿宋_GB2312" w:cs="Times New Roman"/>
      <w:kern w:val="32"/>
      <w:sz w:val="32"/>
      <w:szCs w:val="20"/>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Words>
  <Characters>631</Characters>
  <Lines>5</Lines>
  <Paragraphs>1</Paragraphs>
  <TotalTime>2</TotalTime>
  <ScaleCrop>false</ScaleCrop>
  <LinksUpToDate>false</LinksUpToDate>
  <CharactersWithSpaces>740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2024-12-23T07:09:00Z</dcterms:created>
  <dc:creator>张化军</dc:creator>
  <cp:lastModifiedBy>Administrator</cp:lastModifiedBy>
  <dcterms:modified xsi:type="dcterms:W3CDTF">2025-01-02T07:10:11Z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35C87B75924F4C358DB90680444DCE11</vt:lpwstr>
  </property>
</Properties>
</file>