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宋体" w:eastAsia="方正小标宋简体" w:cs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宋体" w:eastAsia="方正小标宋简体" w:cs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楷体_GB2312" w:hAnsi="华文仿宋" w:eastAsia="楷体_GB2312" w:cs="楷体_GB2312"/>
          <w:szCs w:val="32"/>
        </w:rPr>
      </w:pPr>
      <w:r>
        <w:rPr>
          <w:rFonts w:hint="eastAsia" w:ascii="楷体_GB2312" w:hAnsi="华文仿宋" w:eastAsia="楷体_GB2312" w:cs="楷体_GB2312"/>
          <w:szCs w:val="32"/>
        </w:rPr>
        <w:t>〔2024〕闽漳狱减字第</w:t>
      </w:r>
      <w:r>
        <w:rPr>
          <w:rFonts w:hint="eastAsia" w:ascii="楷体_GB2312" w:hAnsi="华文仿宋" w:eastAsia="楷体_GB2312" w:cs="楷体_GB2312"/>
          <w:szCs w:val="32"/>
          <w:lang w:val="en-US" w:eastAsia="zh-CN"/>
        </w:rPr>
        <w:t>4029</w:t>
      </w:r>
      <w:r>
        <w:rPr>
          <w:rFonts w:hint="eastAsia" w:ascii="楷体_GB2312" w:hAnsi="华文仿宋" w:eastAsia="楷体_GB2312" w:cs="楷体_GB2312"/>
          <w:szCs w:val="32"/>
        </w:rPr>
        <w:t>号</w:t>
      </w:r>
    </w:p>
    <w:p>
      <w:pPr>
        <w:spacing w:line="480" w:lineRule="exact"/>
        <w:ind w:firstLine="640" w:firstLineChars="200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张国兵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fldChar w:fldCharType="begin"/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instrText xml:space="preserve"> AUTOTEXTLIST  \* MERGEFORMAT </w:instrTex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fldChar w:fldCharType="end"/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，男，1977年8月17日出生，汉族，初中文化，住福建省福州市长乐区</w:t>
      </w:r>
      <w:bookmarkStart w:id="0" w:name="_GoBack"/>
      <w:bookmarkEnd w:id="0"/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，捕前系无固定职业。2016年12月20日因犯非法持有毒品罪被长乐市人民法院判处有期徒刑一年六个月，并处罚金人民币10000元，2017年12月8日刑满释放，系累犯。</w:t>
      </w:r>
    </w:p>
    <w:p>
      <w:pPr>
        <w:spacing w:line="480" w:lineRule="exact"/>
        <w:ind w:firstLine="640" w:firstLineChars="200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福建省福州市中级人民法院于2019年9月10日作出（2019）闽01刑初65号刑事判决，以被告人张国兵犯贩卖、运输毒品罪，判处死刑，剥夺政治权利终身，并处没收个人全部财产，继续追缴共同违法所得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，扣押在案的财物由扣押机关处理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宣判后，该犯不服，提出上诉。福建省高级人民法院于2020年12月15日作出（2019）闽刑终280号刑事裁定，撤销福州市中级人民法院（2019）闽01刑初65号刑事判决，发回福州市中级人民法院重新审判。福建省福州市中级人民法院于2021年11月19日作出（2021）闽01刑初3号刑事判决，以被告人张国兵犯贩卖、运输毒品罪，判处死刑，缓期二年执行，剥夺政治权利终身，并处没收个人全部财产，对被告人张国兵限制减刑，继续追缴共同违法所得人民币85220元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，扣押在案的财物由扣押机关处理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。宣判后，该犯不服，提出上诉。福建省高级人民法院于2022年9月5日作出（2021）闽刑终340号刑事裁定，驳回上诉，维持原判。</w:t>
      </w:r>
      <w:r>
        <w:rPr>
          <w:rFonts w:hint="eastAsia" w:ascii="仿宋_GB2312" w:cs="仿宋_GB2312"/>
          <w:color w:val="000000"/>
          <w:kern w:val="0"/>
          <w:sz w:val="32"/>
          <w:szCs w:val="32"/>
          <w:lang w:eastAsia="zh-CN"/>
        </w:rPr>
        <w:t>本裁定即为核准以贩卖、运输毒品罪判处被告人张国兵死刑，缓期二年执行，剥夺政治权利终身，并处没收个人全部财产，并限制减刑的刑事裁定。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死刑缓期执行期自2022年9月21日起至2024年9月20日止。2022年11月21日交付福建省漳州监狱执行刑罚。属考察级罪犯。</w:t>
      </w:r>
    </w:p>
    <w:p>
      <w:pPr>
        <w:spacing w:line="48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罪犯张国兵在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死刑缓期执行期间没有故意犯罪，自入监以来改造表现如下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：</w:t>
      </w:r>
    </w:p>
    <w:p>
      <w:pPr>
        <w:spacing w:line="480" w:lineRule="exact"/>
        <w:ind w:firstLine="640" w:firstLineChars="200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罪悔罪：能服从法院判决，自书认罪悔罪书。</w:t>
      </w:r>
    </w:p>
    <w:p>
      <w:pPr>
        <w:spacing w:line="480" w:lineRule="exact"/>
        <w:ind w:firstLine="640" w:firstLineChars="200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遵守监规：能遵守法律法规及监规纪律，接受教育改造。</w:t>
      </w:r>
    </w:p>
    <w:p>
      <w:pPr>
        <w:spacing w:line="480" w:lineRule="exact"/>
        <w:ind w:firstLine="640" w:firstLineChars="200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学习情况：能参加思想、文化、职业技术教育。</w:t>
      </w:r>
    </w:p>
    <w:p>
      <w:pPr>
        <w:spacing w:line="48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劳动改造：能参加劳动，努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力完成劳动任务。</w:t>
      </w:r>
    </w:p>
    <w:p>
      <w:pPr>
        <w:spacing w:line="480" w:lineRule="exact"/>
        <w:ind w:firstLine="640" w:firstLineChars="200"/>
        <w:rPr>
          <w:rFonts w:hint="eastAsia"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情况：该犯考核期2022年11月21日至2024年9月累计获考核分1980.5分，表扬1次，物质奖励2次；无违规扣分。</w:t>
      </w:r>
    </w:p>
    <w:p>
      <w:pPr>
        <w:spacing w:line="480" w:lineRule="exact"/>
        <w:ind w:firstLine="640" w:firstLineChars="200"/>
        <w:rPr>
          <w:rFonts w:hint="eastAsia"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原判财产性判项未履行。</w:t>
      </w:r>
    </w:p>
    <w:p>
      <w:pPr>
        <w:spacing w:line="480" w:lineRule="exact"/>
        <w:ind w:firstLine="640" w:firstLineChars="200"/>
        <w:rPr>
          <w:rFonts w:hint="eastAsia"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该犯系累犯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毒品再犯罪犯，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系被限制减刑罪犯，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属于从严掌握减刑对象。</w:t>
      </w:r>
    </w:p>
    <w:p>
      <w:pPr>
        <w:spacing w:line="480" w:lineRule="exact"/>
        <w:ind w:firstLine="640" w:firstLineChars="200"/>
        <w:rPr>
          <w:rFonts w:hint="eastAsia"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本案于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2024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日至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2024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日在狱内公示未收到不同意见。</w:t>
      </w:r>
    </w:p>
    <w:p>
      <w:pPr>
        <w:spacing w:line="48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因此，依照《中华人民共和国刑法》第五十条、第五十七条、《中华人民共和国刑事诉讼法》第二百六十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一条和《中华人民共和国监狱法》第三十一条规定，建议对罪犯张国兵减为无期徒刑，剥夺政治权利终身不变。特提请你院审理裁定。</w:t>
      </w:r>
    </w:p>
    <w:p>
      <w:pPr>
        <w:tabs>
          <w:tab w:val="left" w:pos="5944"/>
        </w:tabs>
        <w:spacing w:line="480" w:lineRule="exact"/>
        <w:ind w:right="-48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  <w:r>
        <w:rPr>
          <w:rFonts w:ascii="仿宋_GB2312" w:hAnsi="Times New Roman" w:eastAsia="仿宋_GB2312"/>
          <w:kern w:val="32"/>
          <w:sz w:val="32"/>
          <w:szCs w:val="32"/>
        </w:rPr>
        <w:tab/>
      </w:r>
    </w:p>
    <w:p>
      <w:pPr>
        <w:spacing w:line="480" w:lineRule="exact"/>
        <w:ind w:right="-48" w:rightChars="-15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福建省高级人民法院</w:t>
      </w:r>
    </w:p>
    <w:p>
      <w:pPr>
        <w:spacing w:line="480" w:lineRule="exact"/>
        <w:ind w:firstLine="640" w:firstLineChars="2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附件：⒈罪犯张国兵卷宗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册</w:t>
      </w:r>
    </w:p>
    <w:p>
      <w:pPr>
        <w:spacing w:line="480" w:lineRule="exact"/>
        <w:ind w:right="-48" w:rightChars="-15" w:firstLine="1600" w:firstLineChars="5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五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份</w:t>
      </w:r>
    </w:p>
    <w:p>
      <w:pPr>
        <w:spacing w:line="480" w:lineRule="exact"/>
        <w:ind w:right="-48" w:rightChars="-15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spacing w:line="480" w:lineRule="exact"/>
        <w:ind w:right="-48" w:rightChars="-15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spacing w:line="480" w:lineRule="exact"/>
        <w:ind w:right="-14" w:rightChars="0" w:firstLine="614" w:firstLineChars="192"/>
        <w:jc w:val="center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spacing w:line="600" w:lineRule="exact"/>
        <w:ind w:right="-14" w:rightChars="0" w:firstLine="5440" w:firstLineChars="17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2024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30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78C6784"/>
    <w:rsid w:val="0B032DBB"/>
    <w:rsid w:val="0E9D39B7"/>
    <w:rsid w:val="0EEF0183"/>
    <w:rsid w:val="0F8F0BBA"/>
    <w:rsid w:val="1C595CF1"/>
    <w:rsid w:val="1D453D13"/>
    <w:rsid w:val="23212818"/>
    <w:rsid w:val="2ACA6F7C"/>
    <w:rsid w:val="2C3550D4"/>
    <w:rsid w:val="2EAF0314"/>
    <w:rsid w:val="317C2C76"/>
    <w:rsid w:val="3B02271A"/>
    <w:rsid w:val="3C835306"/>
    <w:rsid w:val="3D42560E"/>
    <w:rsid w:val="44B71804"/>
    <w:rsid w:val="496D5C2E"/>
    <w:rsid w:val="4A024AA2"/>
    <w:rsid w:val="4B745E6C"/>
    <w:rsid w:val="4B897A7D"/>
    <w:rsid w:val="50FF64A6"/>
    <w:rsid w:val="59C11342"/>
    <w:rsid w:val="622C03DE"/>
    <w:rsid w:val="68DF072D"/>
    <w:rsid w:val="6A0A5681"/>
    <w:rsid w:val="6FFD5DDE"/>
    <w:rsid w:val="72210150"/>
    <w:rsid w:val="79BB7B32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11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Administrator</cp:lastModifiedBy>
  <cp:lastPrinted>2024-09-09T08:16:00Z</cp:lastPrinted>
  <dcterms:modified xsi:type="dcterms:W3CDTF">2025-01-02T07:40:50Z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