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〔2024〕闽漳狱减字第694号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罪犯殷立贵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，男，1985年6月2日出生，汉族，小学文化，住重庆市巫溪县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，捕前系农民。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color w:val="FF0000"/>
          <w:kern w:val="32"/>
          <w:sz w:val="32"/>
          <w:szCs w:val="32"/>
        </w:rPr>
      </w:pPr>
      <w:r>
        <w:rPr>
          <w:rFonts w:hint="eastAsia" w:ascii="仿宋_GB2312" w:eastAsia="仿宋_GB2312" w:cs="仿宋_GB2312"/>
          <w:kern w:val="0"/>
          <w:sz w:val="32"/>
          <w:szCs w:val="32"/>
        </w:rPr>
        <w:t>福建省莆田市中级人民法院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于2011年10月21日作出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(2011)莆刑初字第21、47号刑事附带民事判决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，以被告人殷立贵犯故意伤害罪，判处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无期徒刑，剥夺政治权利终身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。赔偿给附带民事诉讼原告人经济损失人民币61557.275元,对赔偿总额人民币246229.1元负连带赔偿责任。宣判后，该犯不服，提出上诉。福建省高级人民法院于2012年5月8日作出（2012）闽刑终字第237号刑事附带民事判决，驳回上诉人殷立贵的上诉，维持原判，维持附带民事诉讼的判决。2012年5月18日交付福建省漳州监狱执行刑罚。2015年3月25日，福建省高级人民法院以（2015）闽刑执字第143号刑事裁定书，对其减为有期徒刑十八年一个月，剥夺政治权利改为七年，刑期自2015年3月25日起至2033年4月24日止；2017年8月25日，福建省漳州市中级人民法院以（2017）闽06刑更627号刑事裁定书，对其减刑七个月，剥夺政治权利七年不变；2020年2月28日，福建省漳州市中级人民法院以（2020）闽06刑更165号刑事裁定书，对其减刑七个月，剥夺政治权利七年不变；2022年7月19日，福建省漳州市中级人民法院以（2022）闽06刑更400号刑事裁定书，对其减刑六个月，剥夺政治权利七年不变，现刑期至2031年8月24日止, 2022年7月22日送达。属普管级罪犯。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该犯自上次减刑以来确有悔改表现，具体事实如下：</w:t>
      </w:r>
    </w:p>
    <w:p>
      <w:pPr>
        <w:spacing w:line="400" w:lineRule="exact"/>
        <w:ind w:firstLine="640" w:firstLineChars="200"/>
        <w:jc w:val="lef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pStyle w:val="8"/>
        <w:autoSpaceDE w:val="0"/>
        <w:autoSpaceDN w:val="0"/>
        <w:adjustRightInd w:val="0"/>
        <w:spacing w:line="400" w:lineRule="exact"/>
        <w:ind w:firstLine="576" w:firstLineChars="180"/>
        <w:jc w:val="left"/>
        <w:rPr>
          <w:rFonts w:ascii="仿宋_GB2312"/>
          <w:color w:val="FF0000"/>
          <w:szCs w:val="32"/>
        </w:rPr>
      </w:pPr>
      <w:r>
        <w:rPr>
          <w:rFonts w:hint="eastAsia" w:ascii="仿宋_GB2312"/>
          <w:szCs w:val="32"/>
        </w:rPr>
        <w:t>遵守监规：该犯考核期内虽有违规，但经民警教育后，能认识到错误，有悔改表现，本次提请前能遵守法律法规及监规纪律，接受教育改造。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劳动改造：能参加劳动，努力完成劳动任务。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奖惩情况：该犯上次评定表扬剩余考核分358.5分，本轮考核期2022年4月至2024年9月累计获考核分3327分，合计获得考核分3685.5分，表扬6次；间隔期2022年7月22日至2024年9月，获考核分2897分。考核期内违规1次,</w:t>
      </w:r>
      <w:r>
        <w:rPr>
          <w:rFonts w:ascii="仿宋_GB2312" w:hAnsi="Times New Roman" w:eastAsia="仿宋_GB2312"/>
          <w:kern w:val="32"/>
          <w:sz w:val="32"/>
          <w:szCs w:val="32"/>
        </w:rPr>
        <w:t>扣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考核分2</w:t>
      </w:r>
      <w:r>
        <w:rPr>
          <w:rFonts w:ascii="仿宋_GB2312" w:hAnsi="Times New Roman" w:eastAsia="仿宋_GB2312"/>
          <w:kern w:val="32"/>
          <w:sz w:val="32"/>
          <w:szCs w:val="32"/>
        </w:rPr>
        <w:t>分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,无重大违规。</w:t>
      </w:r>
    </w:p>
    <w:p>
      <w:pPr>
        <w:spacing w:line="400" w:lineRule="exact"/>
        <w:ind w:firstLine="640" w:firstLineChars="200"/>
        <w:rPr>
          <w:rFonts w:ascii="仿宋_GB2312" w:eastAsia="仿宋_GB2312" w:cs="仿宋_GB2312"/>
          <w:kern w:val="0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原判财产刑判项民事赔偿人民币61557.275元,对赔偿总额人民币246229.1元负连带赔偿责任,已于判决时履行人民币40000元（其中同案犯履行人民币20000元），服刑期间履行人民币111450.12元(其中同案犯履行人民币96350.12元)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；其中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本次提请向福建省莆田市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中级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人民法院履行民事赔偿人民币3000元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。服刑期间履行比例54%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。该犯考核期月均消费人民币230.18元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（注：不包括购买药品、报刊书籍等费用）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，账户可用余额人民币617.71元。福建省莆田市中级人民法院于2024年5月16日复函载明：未发现被执行人有其他可供执行的财产。</w:t>
      </w:r>
    </w:p>
    <w:p>
      <w:pPr>
        <w:pStyle w:val="8"/>
        <w:spacing w:line="440" w:lineRule="exact"/>
        <w:ind w:firstLine="640"/>
        <w:rPr>
          <w:rFonts w:ascii="仿宋_GB2312"/>
          <w:color w:val="FF0000"/>
          <w:szCs w:val="32"/>
        </w:rPr>
      </w:pPr>
      <w:r>
        <w:rPr>
          <w:rFonts w:hint="eastAsia" w:ascii="仿宋_GB2312" w:cs="仿宋_GB2312"/>
          <w:szCs w:val="32"/>
        </w:rPr>
        <w:t>该犯财产性判项义务履行金额未达到其个人应履行总额</w:t>
      </w:r>
      <w:r>
        <w:rPr>
          <w:rFonts w:hint="eastAsia" w:cs="仿宋_GB2312"/>
          <w:szCs w:val="32"/>
        </w:rPr>
        <w:t>70</w:t>
      </w:r>
      <w:r>
        <w:rPr>
          <w:rFonts w:hint="eastAsia" w:ascii="仿宋_GB2312" w:cs="仿宋_GB2312"/>
          <w:szCs w:val="32"/>
        </w:rPr>
        <w:t>%，因此提请减刑幅度扣减一个月。</w:t>
      </w:r>
    </w:p>
    <w:p>
      <w:pPr>
        <w:spacing w:line="40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本案于2024年12月20日至2024年12月26日在狱内公示未收到不同意见。</w:t>
      </w:r>
    </w:p>
    <w:p>
      <w:pPr>
        <w:spacing w:line="40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因此，依照《中华人民共和国刑法》第七十八条、第七十九条，《中华人民共和国刑事诉讼法》第二百七十三条第二款、《中华人民共和国监狱法》第二十九条的规定，建议对罪犯殷立贵予以减刑八个月，剥夺政治权利七年不变。特提请你院审理裁定。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400" w:lineRule="exac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40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附件：⒈罪犯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殷立贵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卷宗二册</w:t>
      </w:r>
    </w:p>
    <w:p>
      <w:pPr>
        <w:spacing w:line="400" w:lineRule="exact"/>
        <w:ind w:firstLine="1600" w:firstLineChars="5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⒉减刑建议书二份</w:t>
      </w:r>
    </w:p>
    <w:p>
      <w:pPr>
        <w:spacing w:line="400" w:lineRule="exact"/>
        <w:ind w:firstLine="5920" w:firstLineChars="185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福建省漳州监狱</w:t>
      </w:r>
    </w:p>
    <w:p>
      <w:pPr>
        <w:spacing w:line="400" w:lineRule="exact"/>
        <w:ind w:firstLine="5440" w:firstLineChars="17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2024年12月</w:t>
      </w:r>
      <w:r>
        <w:rPr>
          <w:rFonts w:ascii="仿宋_GB2312" w:hAnsi="Times New Roman" w:eastAsia="仿宋_GB2312"/>
          <w:kern w:val="32"/>
          <w:sz w:val="32"/>
          <w:szCs w:val="32"/>
        </w:rPr>
        <w:t xml:space="preserve"> 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30日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3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A105A7"/>
    <w:rsid w:val="0023664C"/>
    <w:rsid w:val="008B6615"/>
    <w:rsid w:val="00A105A7"/>
    <w:rsid w:val="0B3B6EB2"/>
    <w:rsid w:val="50504A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  <w:style w:type="paragraph" w:customStyle="1" w:styleId="8">
    <w:name w:val="列表段落1"/>
    <w:basedOn w:val="1"/>
    <w:qFormat/>
    <w:uiPriority w:val="99"/>
    <w:pPr>
      <w:ind w:firstLine="420" w:firstLineChars="200"/>
    </w:pPr>
    <w:rPr>
      <w:rFonts w:ascii="Times New Roman" w:hAnsi="Times New Roman" w:eastAsia="仿宋_GB2312"/>
      <w:kern w:val="32"/>
      <w:sz w:val="32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2</Pages>
  <Words>227</Words>
  <Characters>1299</Characters>
  <Lines>10</Lines>
  <Paragraphs>3</Paragraphs>
  <TotalTime>1</TotalTime>
  <ScaleCrop>false</ScaleCrop>
  <LinksUpToDate>false</LinksUpToDate>
  <CharactersWithSpaces>1523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2024-12-24T07:19:00Z</dcterms:created>
  <dc:creator>PC</dc:creator>
  <cp:lastModifiedBy>Administrator</cp:lastModifiedBy>
  <dcterms:modified xsi:type="dcterms:W3CDTF">2025-01-02T07:39:03Z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D419F1D4C27541BDA41478B14F98E128</vt:lpwstr>
  </property>
</Properties>
</file>