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20" w:lineRule="exact"/>
        <w:ind w:right="-14" w:rightChars="0"/>
        <w:jc w:val="right"/>
        <w:textAlignment w:val="auto"/>
        <w:rPr>
          <w:rFonts w:hint="eastAsia" w:eastAsia="楷体_GB2312" w:cs="楷体_GB2312"/>
          <w:szCs w:val="32"/>
          <w:lang w:eastAsia="zh-CN"/>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25</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13</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罪犯张建清</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，男，1969年5月27日出生，汉族，初中文化，</w:t>
      </w:r>
      <w:r>
        <w:rPr>
          <w:rFonts w:hint="eastAsia" w:ascii="仿宋_GB2312" w:hAnsi="仿宋_GB2312" w:eastAsia="仿宋_GB2312" w:cs="仿宋_GB2312"/>
          <w:szCs w:val="32"/>
          <w:lang w:eastAsia="zh-CN"/>
        </w:rPr>
        <w:t>住</w:t>
      </w:r>
      <w:r>
        <w:rPr>
          <w:rFonts w:hint="eastAsia" w:ascii="仿宋_GB2312" w:hAnsi="仿宋_GB2312" w:eastAsia="仿宋_GB2312" w:cs="仿宋_GB2312"/>
          <w:szCs w:val="32"/>
        </w:rPr>
        <w:t>福建省龙岩市新罗区</w:t>
      </w:r>
      <w:bookmarkStart w:id="0" w:name="_GoBack"/>
      <w:bookmarkEnd w:id="0"/>
      <w:r>
        <w:rPr>
          <w:rFonts w:hint="eastAsia" w:ascii="仿宋_GB2312" w:hAnsi="仿宋_GB2312" w:eastAsia="仿宋_GB2312" w:cs="仿宋_GB2312"/>
          <w:szCs w:val="32"/>
        </w:rPr>
        <w:t>，捕前系无业。2000年7月19日因犯绑架罪被福建省龙岩市中级人民法院再审判处有期徒刑十三年，并处罚金人民币5000元，剥夺政治权利三年，2009年6月21日刑满释放；2010年12月22日因犯非法买卖枪支罪被福建省厦门市思明区人民法院判处有期徒刑三年六个月，2013年3月29日刑满释放，系累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FF0000"/>
          <w:szCs w:val="32"/>
        </w:rPr>
      </w:pPr>
      <w:r>
        <w:rPr>
          <w:rFonts w:hint="eastAsia" w:ascii="仿宋_GB2312" w:hAnsi="仿宋_GB2312" w:eastAsia="仿宋_GB2312" w:cs="仿宋_GB2312"/>
          <w:szCs w:val="32"/>
        </w:rPr>
        <w:t>福建省龙岩市中级人民法院于2017年7月28日作出(2015)岩刑初字第45号刑事判决，以被告人张建清犯制造毒品罪，判处死刑，剥夺政治权利终身，并处没收个人全部财产；犯非法持有毒品罪，判处有期徒刑十五年，并处罚金人民币100000元。数罪并罚，决定执行死刑，剥夺政治权利终身，并处没收个人全部财产。宣判后，该犯不服，提出上诉。福建省高级人民法院于2018年9月27日作出(2017)闽刑终206号刑事裁定，驳回上诉，维持原判。中华人民共和国最高人民法院于2021年2月4日作出(2018)最高法刑核13799329号刑事裁定，不核准福建省高级人民法院(2017)闽刑终206号维持第一审对被告人张建清以制造毒品罪判处死刑，剥夺政治权利终身，并处没收个人全部财产；</w:t>
      </w:r>
      <w:r>
        <w:rPr>
          <w:rFonts w:hint="eastAsia" w:ascii="仿宋_GB2312" w:hAnsi="仿宋_GB2312" w:cs="仿宋_GB2312"/>
          <w:szCs w:val="32"/>
          <w:lang w:eastAsia="zh-CN"/>
        </w:rPr>
        <w:t>以</w:t>
      </w:r>
      <w:r>
        <w:rPr>
          <w:rFonts w:hint="eastAsia" w:ascii="仿宋_GB2312" w:hAnsi="仿宋_GB2312" w:eastAsia="仿宋_GB2312" w:cs="仿宋_GB2312"/>
          <w:szCs w:val="32"/>
        </w:rPr>
        <w:t>非法持有毒品罪判处有期徒刑十五年，并处罚金人民币100000元</w:t>
      </w:r>
      <w:r>
        <w:rPr>
          <w:rFonts w:hint="eastAsia" w:ascii="仿宋_GB2312" w:hAnsi="仿宋_GB2312" w:cs="仿宋_GB2312"/>
          <w:szCs w:val="32"/>
          <w:lang w:eastAsia="zh-CN"/>
        </w:rPr>
        <w:t>，</w:t>
      </w:r>
      <w:r>
        <w:rPr>
          <w:rFonts w:hint="eastAsia" w:ascii="仿宋_GB2312" w:hAnsi="仿宋_GB2312" w:eastAsia="仿宋_GB2312" w:cs="仿宋_GB2312"/>
          <w:szCs w:val="32"/>
        </w:rPr>
        <w:t>决定执行死刑，剥夺政治权利终身，并处没收个人全部财产的刑事裁定；撤销福建省高级人民法院(2017)闽刑终206号刑事裁定和福建省龙岩市中级人民法院(2015)岩刑初字第45号刑事判决中对被告人张建清以制造毒品罪判处死刑，剥夺政治权利终身，并处没收个人全部财产；</w:t>
      </w:r>
      <w:r>
        <w:rPr>
          <w:rFonts w:hint="eastAsia" w:ascii="仿宋_GB2312" w:hAnsi="仿宋_GB2312" w:cs="仿宋_GB2312"/>
          <w:szCs w:val="32"/>
          <w:lang w:eastAsia="zh-CN"/>
        </w:rPr>
        <w:t>以</w:t>
      </w:r>
      <w:r>
        <w:rPr>
          <w:rFonts w:hint="eastAsia" w:ascii="仿宋_GB2312" w:hAnsi="仿宋_GB2312" w:eastAsia="仿宋_GB2312" w:cs="仿宋_GB2312"/>
          <w:szCs w:val="32"/>
        </w:rPr>
        <w:t>非法持有毒品罪判处有期徒刑十五年，并处罚金人民币100000元</w:t>
      </w:r>
      <w:r>
        <w:rPr>
          <w:rFonts w:hint="eastAsia" w:ascii="仿宋_GB2312" w:hAnsi="仿宋_GB2312" w:cs="仿宋_GB2312"/>
          <w:szCs w:val="32"/>
          <w:lang w:eastAsia="zh-CN"/>
        </w:rPr>
        <w:t>，</w:t>
      </w:r>
      <w:r>
        <w:rPr>
          <w:rFonts w:hint="eastAsia" w:ascii="仿宋_GB2312" w:hAnsi="仿宋_GB2312" w:eastAsia="仿宋_GB2312" w:cs="仿宋_GB2312"/>
          <w:szCs w:val="32"/>
        </w:rPr>
        <w:t>决定执行死刑，剥夺政治权利终身，并处没收个人全部财产的部分；发回福建省高级人民法院重新审判。福建省高级人民法院于2022年11月24日作出(2021)闽刑终231号刑事裁定，撤销福建省龙岩市中级人民法院（2015）岩刑初字第45号刑事判决中第一项，即对被告人张建清的定罪量刑部分；上诉人张建清犯制造毒品罪，判处死刑，缓期二年执行，剥夺政治权利终身，并处没收个人全部财产；犯非法持有毒品罪，判处有期徒刑十五年，并处罚金人民币100000元，决定执行死刑，缓期二年执行，剥夺政治权利终身，并处没收个人全部财产；对上诉人张建清限制减刑。死刑缓期执行期自2022年12月7日起至2024年12月6日止，2023年1月12日交付漳州监狱执行刑罚。</w:t>
      </w:r>
      <w:r>
        <w:rPr>
          <w:rFonts w:hint="eastAsia" w:ascii="仿宋_GB2312" w:hAnsi="仿宋_GB2312" w:eastAsia="仿宋_GB2312" w:cs="仿宋_GB2312"/>
          <w:color w:val="000000" w:themeColor="text1"/>
          <w:szCs w:val="32"/>
        </w:rPr>
        <w:t>属考察级罪犯。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该犯在死刑缓期执行期间没有故意犯罪，自入监以来改造表现如下：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iCs/>
          <w:color w:val="000000" w:themeColor="text1"/>
          <w:szCs w:val="32"/>
        </w:rPr>
      </w:pPr>
      <w:r>
        <w:rPr>
          <w:rFonts w:hint="eastAsia" w:ascii="仿宋_GB2312" w:hAnsi="仿宋_GB2312" w:eastAsia="仿宋_GB2312" w:cs="仿宋_GB2312"/>
          <w:iCs/>
          <w:color w:val="000000" w:themeColor="text1"/>
          <w:szCs w:val="32"/>
        </w:rPr>
        <w:t>认罪悔罪：该犯不服从法院判决，自入监起向最高人</w:t>
      </w:r>
      <w:r>
        <w:rPr>
          <w:rFonts w:hint="eastAsia" w:ascii="仿宋_GB2312" w:hAnsi="仿宋_GB2312" w:cs="仿宋_GB2312"/>
          <w:iCs/>
          <w:color w:val="000000" w:themeColor="text1"/>
          <w:szCs w:val="32"/>
          <w:lang w:eastAsia="zh-CN"/>
        </w:rPr>
        <w:t>民</w:t>
      </w:r>
      <w:r>
        <w:rPr>
          <w:rFonts w:hint="eastAsia" w:ascii="仿宋_GB2312" w:hAnsi="仿宋_GB2312" w:eastAsia="仿宋_GB2312" w:cs="仿宋_GB2312"/>
          <w:iCs/>
          <w:color w:val="000000" w:themeColor="text1"/>
          <w:szCs w:val="32"/>
        </w:rPr>
        <w:t>法院、最高人民检察院</w:t>
      </w:r>
      <w:r>
        <w:rPr>
          <w:rFonts w:hint="eastAsia" w:ascii="仿宋_GB2312" w:hAnsi="仿宋_GB2312" w:cs="仿宋_GB2312"/>
          <w:iCs/>
          <w:color w:val="000000" w:themeColor="text1"/>
          <w:szCs w:val="32"/>
          <w:lang w:eastAsia="zh-CN"/>
        </w:rPr>
        <w:t>提出</w:t>
      </w:r>
      <w:r>
        <w:rPr>
          <w:rFonts w:hint="eastAsia" w:ascii="仿宋_GB2312" w:hAnsi="仿宋_GB2312" w:eastAsia="仿宋_GB2312" w:cs="仿宋_GB2312"/>
          <w:iCs/>
          <w:color w:val="000000" w:themeColor="text1"/>
          <w:szCs w:val="32"/>
        </w:rPr>
        <w:t>申诉。</w:t>
      </w:r>
    </w:p>
    <w:p>
      <w:pPr>
        <w:keepNext w:val="0"/>
        <w:keepLines w:val="0"/>
        <w:pageBreakBefore w:val="0"/>
        <w:widowControl w:val="0"/>
        <w:kinsoku/>
        <w:wordWrap/>
        <w:overflowPunct/>
        <w:topLinePunct w:val="0"/>
        <w:autoSpaceDE/>
        <w:autoSpaceDN/>
        <w:bidi w:val="0"/>
        <w:adjustRightInd/>
        <w:snapToGrid/>
        <w:spacing w:line="580" w:lineRule="exact"/>
        <w:ind w:left="640" w:leftChars="200"/>
        <w:jc w:val="left"/>
        <w:textAlignment w:val="auto"/>
        <w:rPr>
          <w:rFonts w:hint="eastAsia" w:ascii="仿宋_GB2312" w:hAnsi="仿宋_GB2312" w:eastAsia="仿宋_GB2312" w:cs="仿宋_GB2312"/>
          <w:iCs/>
          <w:szCs w:val="32"/>
        </w:rPr>
      </w:pPr>
      <w:r>
        <w:rPr>
          <w:rFonts w:hint="eastAsia" w:ascii="仿宋_GB2312" w:hAnsi="仿宋_GB2312" w:eastAsia="仿宋_GB2312" w:cs="仿宋_GB2312"/>
          <w:iCs/>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80" w:lineRule="exact"/>
        <w:ind w:left="640" w:leftChars="200"/>
        <w:jc w:val="left"/>
        <w:textAlignment w:val="auto"/>
        <w:rPr>
          <w:rFonts w:hint="eastAsia" w:ascii="仿宋_GB2312" w:hAnsi="仿宋_GB2312" w:eastAsia="仿宋_GB2312" w:cs="仿宋_GB2312"/>
          <w:iCs/>
          <w:szCs w:val="32"/>
        </w:rPr>
      </w:pPr>
      <w:r>
        <w:rPr>
          <w:rFonts w:hint="eastAsia" w:ascii="仿宋_GB2312" w:hAnsi="仿宋_GB2312" w:eastAsia="仿宋_GB2312" w:cs="仿宋_GB2312"/>
          <w:iCs/>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80" w:lineRule="exact"/>
        <w:ind w:left="640" w:leftChars="200"/>
        <w:jc w:val="left"/>
        <w:textAlignment w:val="auto"/>
        <w:rPr>
          <w:rFonts w:hint="eastAsia" w:ascii="仿宋_GB2312" w:hAnsi="仿宋_GB2312" w:eastAsia="仿宋_GB2312" w:cs="仿宋_GB2312"/>
          <w:iCs/>
          <w:szCs w:val="32"/>
        </w:rPr>
      </w:pPr>
      <w:r>
        <w:rPr>
          <w:rFonts w:hint="eastAsia" w:ascii="仿宋_GB2312" w:hAnsi="仿宋_GB2312" w:eastAsia="仿宋_GB2312" w:cs="仿宋_GB2312"/>
          <w:iCs/>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iCs/>
          <w:szCs w:val="32"/>
        </w:rPr>
        <w:t>奖惩情况：</w:t>
      </w:r>
      <w:r>
        <w:rPr>
          <w:rFonts w:hint="eastAsia" w:ascii="仿宋_GB2312" w:hAnsi="仿宋_GB2312" w:eastAsia="仿宋_GB2312" w:cs="仿宋_GB2312"/>
          <w:color w:val="000000" w:themeColor="text1"/>
          <w:szCs w:val="32"/>
        </w:rPr>
        <w:t>该犯起始期2023年1月12日至2024年12月，累计获得考核分2094分，物质奖励3次。考核期内违规1次，扣9分，无重大违规。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原判财产性判项未履行。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该犯系累犯、数罪并罚被判处</w:t>
      </w:r>
      <w:r>
        <w:rPr>
          <w:rFonts w:hint="eastAsia" w:ascii="仿宋_GB2312" w:hAnsi="仿宋_GB2312" w:cs="仿宋_GB2312"/>
          <w:color w:val="000000" w:themeColor="text1"/>
          <w:szCs w:val="32"/>
          <w:lang w:eastAsia="zh-CN"/>
        </w:rPr>
        <w:t>死刑，缓期二年执行</w:t>
      </w:r>
      <w:r>
        <w:rPr>
          <w:rFonts w:hint="eastAsia" w:ascii="仿宋_GB2312" w:hAnsi="仿宋_GB2312" w:eastAsia="仿宋_GB2312" w:cs="仿宋_GB2312"/>
          <w:color w:val="000000" w:themeColor="text1"/>
          <w:szCs w:val="32"/>
        </w:rPr>
        <w:t>的罪犯，系被限制减刑罪犯，属于从严掌握减刑对象。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2025年2月14日至2025年2月20日</w:t>
      </w:r>
      <w:r>
        <w:rPr>
          <w:rFonts w:hint="eastAsia" w:ascii="仿宋_GB2312" w:hAnsi="仿宋_GB2312" w:eastAsia="仿宋_GB2312" w:cs="仿宋_GB2312"/>
          <w:szCs w:val="32"/>
        </w:rPr>
        <w:t>在狱内公示未收到不同意见。</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五十条、第五十七条、《中华人民共和国刑事诉讼法》第二百六十一条和《中华人民共和国监狱法》第三十一条规定，建议对罪犯张建清减为无期徒刑，剥夺政治权利终身不变。特提请你院审理裁定。</w:t>
      </w:r>
    </w:p>
    <w:p>
      <w:pPr>
        <w:pStyle w:val="2"/>
        <w:keepNext w:val="0"/>
        <w:keepLines w:val="0"/>
        <w:pageBreakBefore w:val="0"/>
        <w:widowControl w:val="0"/>
        <w:kinsoku/>
        <w:wordWrap/>
        <w:overflowPunct/>
        <w:topLinePunct w:val="0"/>
        <w:autoSpaceDE/>
        <w:autoSpaceDN/>
        <w:bidi w:val="0"/>
        <w:adjustRightInd/>
        <w:snapToGrid/>
        <w:spacing w:line="580" w:lineRule="exact"/>
        <w:ind w:right="-48" w:rightChars="-15" w:firstLine="614" w:firstLineChars="192"/>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keepNext w:val="0"/>
        <w:keepLines w:val="0"/>
        <w:pageBreakBefore w:val="0"/>
        <w:widowControl w:val="0"/>
        <w:kinsoku/>
        <w:wordWrap/>
        <w:overflowPunct/>
        <w:topLinePunct w:val="0"/>
        <w:autoSpaceDE/>
        <w:autoSpaceDN/>
        <w:bidi w:val="0"/>
        <w:adjustRightInd/>
        <w:snapToGrid/>
        <w:spacing w:line="580" w:lineRule="exact"/>
        <w:ind w:right="-48" w:rightChars="-15"/>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附件：⒈罪犯张建清卷宗</w:t>
      </w:r>
      <w:r>
        <w:rPr>
          <w:rFonts w:hint="eastAsia" w:ascii="仿宋_GB2312" w:hAnsi="仿宋_GB2312" w:cs="仿宋_GB2312"/>
          <w:szCs w:val="32"/>
          <w:lang w:eastAsia="zh-CN"/>
        </w:rPr>
        <w:t>二</w:t>
      </w:r>
      <w:r>
        <w:rPr>
          <w:rFonts w:hint="eastAsia" w:ascii="仿宋_GB2312" w:hAnsi="仿宋_GB2312" w:eastAsia="仿宋_GB2312" w:cs="仿宋_GB2312"/>
          <w:szCs w:val="32"/>
        </w:rPr>
        <w:t>册</w:t>
      </w:r>
    </w:p>
    <w:p>
      <w:pPr>
        <w:keepNext w:val="0"/>
        <w:keepLines w:val="0"/>
        <w:pageBreakBefore w:val="0"/>
        <w:widowControl w:val="0"/>
        <w:kinsoku/>
        <w:wordWrap/>
        <w:overflowPunct/>
        <w:topLinePunct w:val="0"/>
        <w:autoSpaceDE/>
        <w:autoSpaceDN/>
        <w:bidi w:val="0"/>
        <w:adjustRightInd/>
        <w:snapToGrid/>
        <w:spacing w:line="580" w:lineRule="exact"/>
        <w:ind w:right="-48" w:rightChars="-15" w:firstLine="1600" w:firstLineChars="5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cs="仿宋_GB2312"/>
          <w:szCs w:val="32"/>
          <w:lang w:eastAsia="zh-CN"/>
        </w:rPr>
        <w:t>五</w:t>
      </w:r>
      <w:r>
        <w:rPr>
          <w:rFonts w:hint="eastAsia" w:ascii="仿宋_GB2312" w:hAnsi="仿宋_GB2312" w:eastAsia="仿宋_GB2312" w:cs="仿宋_GB2312"/>
          <w:szCs w:val="32"/>
        </w:rPr>
        <w:t>份</w:t>
      </w:r>
    </w:p>
    <w:p>
      <w:pPr>
        <w:keepNext w:val="0"/>
        <w:keepLines w:val="0"/>
        <w:pageBreakBefore w:val="0"/>
        <w:widowControl w:val="0"/>
        <w:kinsoku/>
        <w:wordWrap/>
        <w:overflowPunct/>
        <w:topLinePunct w:val="0"/>
        <w:autoSpaceDE/>
        <w:autoSpaceDN/>
        <w:bidi w:val="0"/>
        <w:adjustRightInd/>
        <w:snapToGrid/>
        <w:spacing w:line="580" w:lineRule="exact"/>
        <w:ind w:right="-48" w:rightChars="-15" w:firstLine="1600" w:firstLineChars="500"/>
        <w:jc w:val="left"/>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80" w:lineRule="exact"/>
        <w:ind w:right="-48" w:rightChars="-15" w:firstLine="1600" w:firstLineChars="500"/>
        <w:jc w:val="left"/>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80" w:lineRule="exact"/>
        <w:ind w:right="-14" w:rightChars="0" w:firstLine="5094" w:firstLineChars="1592"/>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福建省漳州监狱</w:t>
      </w:r>
    </w:p>
    <w:p>
      <w:pPr>
        <w:keepNext w:val="0"/>
        <w:keepLines w:val="0"/>
        <w:pageBreakBefore w:val="0"/>
        <w:widowControl w:val="0"/>
        <w:kinsoku/>
        <w:wordWrap/>
        <w:overflowPunct/>
        <w:topLinePunct w:val="0"/>
        <w:autoSpaceDE/>
        <w:autoSpaceDN/>
        <w:bidi w:val="0"/>
        <w:adjustRightInd/>
        <w:snapToGrid/>
        <w:spacing w:line="580" w:lineRule="exact"/>
        <w:ind w:right="-14" w:rightChars="0"/>
        <w:jc w:val="left"/>
        <w:textAlignment w:val="auto"/>
        <w:rPr>
          <w:rFonts w:hint="eastAsia" w:ascii="仿宋_GB2312" w:hAnsi="仿宋_GB2312" w:eastAsia="仿宋_GB2312" w:cs="仿宋_GB2312"/>
          <w:szCs w:val="32"/>
        </w:rPr>
      </w:pPr>
      <w:r>
        <w:rPr>
          <w:rFonts w:hint="eastAsia" w:ascii="仿宋_GB2312" w:hAnsi="仿宋_GB2312" w:cs="仿宋_GB2312"/>
          <w:szCs w:val="32"/>
          <w:lang w:val="en-US" w:eastAsia="zh-CN"/>
        </w:rPr>
        <w:t xml:space="preserve">                               2025</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78C6784"/>
    <w:rsid w:val="0B032DBB"/>
    <w:rsid w:val="0C6E1544"/>
    <w:rsid w:val="0E9D39B7"/>
    <w:rsid w:val="0EEF0183"/>
    <w:rsid w:val="1C595CF1"/>
    <w:rsid w:val="1D453D13"/>
    <w:rsid w:val="23212818"/>
    <w:rsid w:val="2626689D"/>
    <w:rsid w:val="2C3550D4"/>
    <w:rsid w:val="2EAF0314"/>
    <w:rsid w:val="317C2C76"/>
    <w:rsid w:val="3B02271A"/>
    <w:rsid w:val="3C835306"/>
    <w:rsid w:val="3D2227E1"/>
    <w:rsid w:val="3D42560E"/>
    <w:rsid w:val="3EF041C9"/>
    <w:rsid w:val="40D516CD"/>
    <w:rsid w:val="44B71804"/>
    <w:rsid w:val="496D5C2E"/>
    <w:rsid w:val="4A024AA2"/>
    <w:rsid w:val="4B745E6C"/>
    <w:rsid w:val="4B897A7D"/>
    <w:rsid w:val="50FF64A6"/>
    <w:rsid w:val="59C11342"/>
    <w:rsid w:val="622C03DE"/>
    <w:rsid w:val="6391562E"/>
    <w:rsid w:val="68DF072D"/>
    <w:rsid w:val="6A0A5681"/>
    <w:rsid w:val="6FFD5DDE"/>
    <w:rsid w:val="72210150"/>
    <w:rsid w:val="79BB7B32"/>
    <w:rsid w:val="7BAC215F"/>
    <w:rsid w:val="7BD95998"/>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3</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2025-02-25T03:19:26Z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