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/>
          <w:sz w:val="32"/>
          <w:szCs w:val="32"/>
        </w:rPr>
      </w:pPr>
      <w:r>
        <w:rPr>
          <w:rFonts w:hint="eastAsia" w:ascii="楷体_GB2312" w:hAnsi="华文仿宋" w:eastAsia="楷体_GB2312" w:cs="楷体_GB2312"/>
          <w:sz w:val="32"/>
          <w:szCs w:val="32"/>
        </w:rPr>
        <w:t>〔202</w:t>
      </w:r>
      <w:r>
        <w:rPr>
          <w:rFonts w:hint="eastAsia" w:ascii="楷体_GB2312" w:hAnsi="华文仿宋" w:eastAsia="楷体_GB2312" w:cs="楷体_GB2312"/>
          <w:sz w:val="3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 w:val="32"/>
          <w:szCs w:val="32"/>
          <w:lang w:val="en-US" w:eastAsia="zh-CN"/>
        </w:rPr>
        <w:t>4003</w:t>
      </w:r>
      <w:r>
        <w:rPr>
          <w:rFonts w:hint="eastAsia" w:ascii="楷体_GB2312" w:hAnsi="华文仿宋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罪犯曾昭中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,男，1975年9月30日出生，汉族，大专文化，户籍所在地福建省长汀县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厦门市中级人民法院于2016年8月17日作出（2016）闽02刑初36号刑事判决，以被告人曾昭中犯贩卖、运输、制造毒品罪，判处死刑，缓期二年执行，剥夺政治权利终身，并处没收个人全部财产。宣判后，该犯不服，提出上诉。福建省高级人民法院于2017年3月14日作出（2016）闽刑终358号刑事裁定，驳回上诉，维持原判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死刑缓期执行期自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2017年4月24日起至2019年4月23日止。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2019年4月10日交付漳州监狱执行刑罚。2019年10月22日，福建省高级人民法院以（2019）闽刑更418号刑事裁定书，减为无期徒刑，剥夺政治权利终身不变，2019年11月11日送达。属普管级罪犯。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罪犯曾昭中</w:t>
      </w:r>
      <w:r>
        <w:rPr>
          <w:rFonts w:hint="eastAsia" w:ascii="仿宋_GB2312" w:hAnsi="仿宋_GB2312" w:eastAsia="仿宋_GB2312" w:cs="仿宋_GB2312"/>
          <w:sz w:val="32"/>
          <w:szCs w:val="32"/>
        </w:rPr>
        <w:t>在死刑缓期执行期间没有故意犯罪，在无期期间确有悔改表现，自入监以来改造表现如下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奖惩情况：该犯2019年4月10日至2019年4月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日，累计获考核分0分，2019年5月至2024年11月，累计获考核分7488.5分，合计获得考核分7488.5分，表扬1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次。2019年4月10日至2019年4月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日无违规扣分，2019年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月至2024年11月违规1次，扣考核分10分，无重大违规。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原判财产性判项已履行2820元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其中本次提请向福建省厦门市中级人民法院履行2820元。该犯考核期月均消费人民币287.95元（注：不包括购买药品、报刊书籍等费用），账户可用余额人民币405.12元。2024年1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月23日福建省厦门市中级人民法院财产性判项复函载明：查无被执行人曾昭中其他可供执行财产。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本案于</w:t>
      </w:r>
      <w:r>
        <w:rPr>
          <w:rFonts w:hint="eastAsia" w:ascii="仿宋_GB2312" w:hAnsi="仿宋_GB2312" w:cs="仿宋_GB2312"/>
          <w:kern w:val="32"/>
          <w:sz w:val="3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曾昭中予以减为有期徒刑二十五年，剥夺政治权利改为十年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附件：⒈罪犯曾昭中卷宗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月 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4C8E6D75"/>
    <w:rsid w:val="50FF64A6"/>
    <w:rsid w:val="59C11342"/>
    <w:rsid w:val="5E817B37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