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195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罪犯岳文超，男，1996年9月16日出生，汉族，初中文化，户籍地址四川省西充县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厦门市中级人民法院于2017年8月26日作出(2016)闽02刑初76号刑事附带民事判决，以被告人岳文超犯故意伤害罪，判处无期徒刑，剥夺政治权利终身,连带赔偿附带民事诉讼原告人经济损失人民币1161144元，被告人岳文超应承担30%的赔偿责任，扣除已赔付的人民币100000元，还应赔偿人民币248343.2元。宣判后，该犯不服，提出上诉，福建省高级人民法院于2018年7月31日作出(2018)闽刑终28号刑事判决，驳回上述人岳文超之上诉，维持对被告人岳文超定罪量刑以及没收作案工具的判决。2018年9月28日交付福建省漳州监狱执行刑罚。2021年6月24日,福建省高级人民法院以（2021）闽刑更51号刑事裁定书，对其减为有期徒刑二十二年，剥夺政治权利改为十年,并于2021年7月22日送达。现刑期至2043年6月23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579分，本轮考核期2020年12月至2025年1月累计获考核分5814分，合计获考核分6393分，表扬6次,物质奖励4次；间隔期2021年7月22日至2025年1月累计获考核分4483分。考核期内违规2次，累计扣考核分9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连带赔偿附带民事诉讼原告人经济损失人民币1161144元，应赔偿人民币348343.2元，已履行人民币351800元。其中本次提请向福建省厦门市中级人民法院缴纳民事赔偿人民币251000元。2024年12月26日福建省厦门市中级人民法院财产性判项复函载明：被执行人岳文超已按照（2016）闽02刑初76号刑事判决书的判项内容，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4月16日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4月22日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岳文超予以减刑八个月十五天，剥夺政治权利十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附件：⒈罪犯岳文超卷宗二册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2C42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0BF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1C34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C70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3053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E4F4A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475D2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C42D2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0E51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59912A3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35B27B6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BC4A0-FA75-4F19-A02A-2F0011F97F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183</Words>
  <Characters>1047</Characters>
  <Lines>8</Lines>
  <Paragraphs>2</Paragraphs>
  <TotalTime>16</TotalTime>
  <ScaleCrop>false</ScaleCrop>
  <LinksUpToDate>false</LinksUpToDate>
  <CharactersWithSpaces>1228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2025-04-17T06:13:00Z</cp:lastPrinted>
  <dcterms:modified xsi:type="dcterms:W3CDTF">2025-04-29T07:46:51Z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