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w:t>
      </w:r>
      <w:r>
        <w:rPr>
          <w:rFonts w:hint="eastAsia" w:ascii="方正小标宋简体" w:hAnsi="方正小标宋简体" w:eastAsia="方正小标宋简体" w:cs="方正小标宋简体"/>
          <w:color w:val="auto"/>
          <w:sz w:val="44"/>
          <w:szCs w:val="44"/>
          <w:lang w:eastAsia="zh-CN"/>
        </w:rPr>
        <w:t>漳州</w:t>
      </w:r>
      <w:r>
        <w:rPr>
          <w:rFonts w:hint="eastAsia" w:ascii="方正小标宋简体" w:hAnsi="方正小标宋简体" w:eastAsia="方正小标宋简体" w:cs="方正小标宋简体"/>
          <w:color w:val="auto"/>
          <w:sz w:val="44"/>
          <w:szCs w:val="44"/>
        </w:rPr>
        <w:t>监狱</w:t>
      </w:r>
    </w:p>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提请减刑建议书</w:t>
      </w:r>
    </w:p>
    <w:p>
      <w:pPr>
        <w:pStyle w:val="11"/>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eastAsia="楷体_GB2312" w:cs="楷体_GB2312"/>
          <w:color w:val="auto"/>
          <w:szCs w:val="32"/>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25</w:t>
      </w:r>
      <w:r>
        <w:rPr>
          <w:rFonts w:hint="eastAsia" w:eastAsia="楷体_GB2312" w:cs="楷体_GB2312"/>
          <w:color w:val="auto"/>
          <w:szCs w:val="32"/>
        </w:rPr>
        <w:t>〕闽</w:t>
      </w:r>
      <w:r>
        <w:rPr>
          <w:rFonts w:hint="eastAsia" w:eastAsia="楷体_GB2312" w:cs="楷体_GB2312"/>
          <w:color w:val="auto"/>
          <w:szCs w:val="32"/>
          <w:lang w:val="en-US" w:eastAsia="zh-CN"/>
        </w:rPr>
        <w:t>漳</w:t>
      </w:r>
      <w:r>
        <w:rPr>
          <w:rFonts w:hint="eastAsia" w:eastAsia="楷体_GB2312" w:cs="楷体_GB2312"/>
          <w:color w:val="auto"/>
          <w:szCs w:val="32"/>
        </w:rPr>
        <w:t>狱减字第</w:t>
      </w:r>
      <w:r>
        <w:rPr>
          <w:rFonts w:hint="eastAsia" w:eastAsia="楷体_GB2312"/>
          <w:color w:val="auto"/>
          <w:szCs w:val="32"/>
          <w:lang w:val="en-US" w:eastAsia="zh-CN"/>
        </w:rPr>
        <w:t>153</w:t>
      </w:r>
      <w:r>
        <w:rPr>
          <w:rFonts w:hint="eastAsia" w:eastAsia="楷体_GB2312" w:cs="楷体_GB2312"/>
          <w:color w:val="auto"/>
          <w:szCs w:val="32"/>
        </w:rPr>
        <w:t>号</w:t>
      </w:r>
    </w:p>
    <w:p>
      <w:pPr>
        <w:pStyle w:val="11"/>
        <w:keepNext w:val="0"/>
        <w:keepLines w:val="0"/>
        <w:pageBreakBefore w:val="0"/>
        <w:widowControl w:val="0"/>
        <w:kinsoku/>
        <w:wordWrap/>
        <w:overflowPunct/>
        <w:topLinePunct w:val="0"/>
        <w:bidi w:val="0"/>
        <w:spacing w:line="430" w:lineRule="exact"/>
        <w:ind w:left="640" w:right="-48" w:rightChars="-15" w:firstLine="0" w:firstLineChars="0"/>
        <w:jc w:val="both"/>
        <w:textAlignment w:val="auto"/>
        <w:rPr>
          <w:rFonts w:ascii="仿宋_GB2312"/>
          <w:b/>
          <w:bCs/>
          <w:color w:val="auto"/>
          <w:sz w:val="28"/>
        </w:rPr>
      </w:pP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w:t>
      </w:r>
      <w:r>
        <w:rPr>
          <w:rFonts w:hint="eastAsia" w:ascii="仿宋_GB2312" w:hAnsi="仿宋_GB2312" w:cs="仿宋_GB2312"/>
          <w:color w:val="auto"/>
          <w:szCs w:val="32"/>
          <w:lang w:val="en-US" w:eastAsia="zh-CN"/>
        </w:rPr>
        <w:t>钟窑生，男，1981</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13</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val="en-US"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eastAsia="zh-CN"/>
        </w:rPr>
        <w:t>小学文化</w:t>
      </w:r>
      <w:r>
        <w:rPr>
          <w:rFonts w:hint="eastAsia" w:ascii="仿宋_GB2312" w:hAnsi="仿宋_GB2312" w:eastAsia="仿宋_GB2312" w:cs="仿宋_GB2312"/>
          <w:color w:val="auto"/>
          <w:szCs w:val="32"/>
          <w:lang w:val="en-US" w:eastAsia="zh-CN"/>
        </w:rPr>
        <w:t>，</w:t>
      </w:r>
      <w:r>
        <w:rPr>
          <w:rFonts w:hint="eastAsia" w:ascii="仿宋_GB2312" w:hAnsi="仿宋_GB2312" w:eastAsia="仿宋_GB2312" w:cs="仿宋_GB2312"/>
          <w:color w:val="auto"/>
          <w:szCs w:val="32"/>
        </w:rPr>
        <w:t>户籍所在地福建省长汀县</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务农。因犯盗窃罪，于</w:t>
      </w:r>
      <w:r>
        <w:rPr>
          <w:rFonts w:hint="eastAsia" w:ascii="仿宋_GB2312" w:hAnsi="仿宋_GB2312" w:cs="仿宋_GB2312"/>
          <w:color w:val="auto"/>
          <w:szCs w:val="32"/>
          <w:lang w:val="en-US" w:eastAsia="zh-CN"/>
        </w:rPr>
        <w:t>2005年8月4日被龙岩市新罗区人民法院判处有期徒刑六个月，并处罚金人民币5000元，系有前科</w:t>
      </w:r>
      <w:r>
        <w:rPr>
          <w:rFonts w:hint="eastAsia" w:ascii="仿宋_GB2312" w:hAnsi="仿宋_GB2312" w:eastAsia="仿宋_GB2312" w:cs="仿宋_GB2312"/>
          <w:color w:val="auto"/>
          <w:szCs w:val="32"/>
        </w:rPr>
        <w:t>。</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福建省龙岩市中级</w:t>
      </w:r>
      <w:r>
        <w:rPr>
          <w:rFonts w:hint="eastAsia" w:ascii="仿宋_GB2312" w:hAnsi="仿宋_GB2312" w:eastAsia="仿宋_GB2312" w:cs="仿宋_GB2312"/>
          <w:color w:val="auto"/>
          <w:szCs w:val="32"/>
        </w:rPr>
        <w:t>人民法院于</w:t>
      </w:r>
      <w:r>
        <w:rPr>
          <w:rFonts w:hint="eastAsia" w:ascii="仿宋_GB2312" w:hAnsi="仿宋_GB2312" w:cs="仿宋_GB2312"/>
          <w:color w:val="auto"/>
          <w:szCs w:val="32"/>
          <w:lang w:val="en-US" w:eastAsia="zh-CN"/>
        </w:rPr>
        <w:t>2020</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2019</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08</w:t>
      </w:r>
      <w:r>
        <w:rPr>
          <w:rFonts w:hint="eastAsia" w:ascii="仿宋_GB2312" w:hAnsi="仿宋_GB2312" w:eastAsia="仿宋_GB2312" w:cs="仿宋_GB2312"/>
          <w:color w:val="auto"/>
          <w:szCs w:val="32"/>
        </w:rPr>
        <w:t>刑</w:t>
      </w:r>
      <w:r>
        <w:rPr>
          <w:rFonts w:hint="eastAsia" w:ascii="仿宋_GB2312" w:hAnsi="仿宋_GB2312" w:cs="仿宋_GB2312"/>
          <w:color w:val="auto"/>
          <w:szCs w:val="32"/>
          <w:lang w:eastAsia="zh-CN"/>
        </w:rPr>
        <w:t>初</w:t>
      </w:r>
      <w:r>
        <w:rPr>
          <w:rFonts w:hint="eastAsia" w:ascii="仿宋_GB2312" w:hAnsi="仿宋_GB2312" w:cs="仿宋_GB2312"/>
          <w:color w:val="auto"/>
          <w:szCs w:val="32"/>
          <w:lang w:val="en-US" w:eastAsia="zh-CN"/>
        </w:rPr>
        <w:t>45</w:t>
      </w:r>
      <w:r>
        <w:rPr>
          <w:rFonts w:hint="eastAsia" w:ascii="仿宋_GB2312" w:hAnsi="仿宋_GB2312" w:eastAsia="仿宋_GB2312" w:cs="仿宋_GB2312"/>
          <w:color w:val="auto"/>
          <w:szCs w:val="32"/>
        </w:rPr>
        <w:t>号刑事判决，以被告人</w:t>
      </w:r>
      <w:r>
        <w:rPr>
          <w:rFonts w:hint="eastAsia" w:ascii="仿宋_GB2312" w:hAnsi="仿宋_GB2312" w:cs="仿宋_GB2312"/>
          <w:color w:val="auto"/>
          <w:szCs w:val="32"/>
          <w:lang w:eastAsia="zh-CN"/>
        </w:rPr>
        <w:t>钟窑生</w:t>
      </w:r>
      <w:r>
        <w:rPr>
          <w:rFonts w:hint="eastAsia" w:ascii="仿宋_GB2312" w:hAnsi="仿宋_GB2312" w:eastAsia="仿宋_GB2312" w:cs="仿宋_GB2312"/>
          <w:color w:val="auto"/>
          <w:szCs w:val="32"/>
        </w:rPr>
        <w:t>犯</w:t>
      </w:r>
      <w:r>
        <w:rPr>
          <w:rFonts w:hint="eastAsia" w:ascii="仿宋_GB2312" w:hAnsi="仿宋_GB2312" w:cs="仿宋_GB2312"/>
          <w:color w:val="auto"/>
          <w:szCs w:val="32"/>
          <w:lang w:eastAsia="zh-CN"/>
        </w:rPr>
        <w:t>贩卖毒品</w:t>
      </w:r>
      <w:r>
        <w:rPr>
          <w:rFonts w:hint="eastAsia" w:ascii="仿宋_GB2312" w:hAnsi="仿宋_GB2312" w:eastAsia="仿宋_GB2312" w:cs="仿宋_GB2312"/>
          <w:color w:val="auto"/>
          <w:szCs w:val="32"/>
        </w:rPr>
        <w:t>罪，判处有期徒刑</w:t>
      </w:r>
      <w:r>
        <w:rPr>
          <w:rFonts w:hint="eastAsia" w:ascii="仿宋_GB2312" w:hAnsi="仿宋_GB2312" w:cs="仿宋_GB2312"/>
          <w:color w:val="auto"/>
          <w:szCs w:val="32"/>
          <w:lang w:eastAsia="zh-CN"/>
        </w:rPr>
        <w:t>十五</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eastAsia="zh-CN"/>
        </w:rPr>
        <w:t>并处没收个人财产人民币</w:t>
      </w:r>
      <w:r>
        <w:rPr>
          <w:rFonts w:hint="eastAsia" w:ascii="仿宋_GB2312" w:hAnsi="仿宋_GB2312" w:cs="仿宋_GB2312"/>
          <w:color w:val="auto"/>
          <w:szCs w:val="32"/>
          <w:lang w:val="en-US" w:eastAsia="zh-CN"/>
        </w:rPr>
        <w:t>100000元</w:t>
      </w:r>
      <w:r>
        <w:rPr>
          <w:rFonts w:hint="eastAsia" w:ascii="仿宋_GB2312" w:hAnsi="仿宋_GB2312" w:eastAsia="仿宋_GB2312" w:cs="仿宋_GB2312"/>
          <w:color w:val="auto"/>
          <w:szCs w:val="32"/>
        </w:rPr>
        <w:t>。宣判后，该犯不服，提出上诉。福建省</w:t>
      </w:r>
      <w:r>
        <w:rPr>
          <w:rFonts w:hint="eastAsia" w:ascii="仿宋_GB2312" w:hAnsi="仿宋_GB2312" w:cs="仿宋_GB2312"/>
          <w:color w:val="auto"/>
          <w:szCs w:val="32"/>
          <w:lang w:eastAsia="zh-CN"/>
        </w:rPr>
        <w:t>高</w:t>
      </w:r>
      <w:r>
        <w:rPr>
          <w:rFonts w:hint="eastAsia" w:ascii="仿宋_GB2312" w:hAnsi="仿宋_GB2312" w:eastAsia="仿宋_GB2312" w:cs="仿宋_GB2312"/>
          <w:color w:val="auto"/>
          <w:szCs w:val="32"/>
        </w:rPr>
        <w:t>级人民法院于202</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23</w:t>
      </w:r>
      <w:r>
        <w:rPr>
          <w:rFonts w:hint="eastAsia" w:ascii="仿宋_GB2312" w:hAnsi="仿宋_GB2312" w:eastAsia="仿宋_GB2312" w:cs="仿宋_GB2312"/>
          <w:color w:val="auto"/>
          <w:szCs w:val="32"/>
        </w:rPr>
        <w:t>日作出（202</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rPr>
        <w:t>）闽刑终</w:t>
      </w:r>
      <w:r>
        <w:rPr>
          <w:rFonts w:hint="eastAsia" w:ascii="仿宋_GB2312" w:hAnsi="仿宋_GB2312" w:cs="仿宋_GB2312"/>
          <w:color w:val="auto"/>
          <w:szCs w:val="32"/>
          <w:lang w:val="en-US" w:eastAsia="zh-CN"/>
        </w:rPr>
        <w:t>5</w:t>
      </w:r>
      <w:r>
        <w:rPr>
          <w:rFonts w:hint="eastAsia" w:ascii="仿宋_GB2312" w:hAnsi="仿宋_GB2312" w:eastAsia="仿宋_GB2312" w:cs="仿宋_GB2312"/>
          <w:color w:val="auto"/>
          <w:szCs w:val="32"/>
        </w:rPr>
        <w:t>号刑事裁定，驳回上诉，维持原判。刑期自</w:t>
      </w:r>
      <w:r>
        <w:rPr>
          <w:rFonts w:hint="eastAsia" w:ascii="仿宋_GB2312" w:hAnsi="仿宋_GB2312" w:cs="仿宋_GB2312"/>
          <w:color w:val="auto"/>
          <w:szCs w:val="32"/>
          <w:lang w:val="en-US" w:eastAsia="zh-CN"/>
        </w:rPr>
        <w:t>2018</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7</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29</w:t>
      </w:r>
      <w:r>
        <w:rPr>
          <w:rFonts w:hint="eastAsia" w:ascii="仿宋_GB2312" w:hAnsi="仿宋_GB2312" w:eastAsia="仿宋_GB2312" w:cs="仿宋_GB2312"/>
          <w:color w:val="auto"/>
          <w:szCs w:val="32"/>
        </w:rPr>
        <w:t>日起至</w:t>
      </w:r>
      <w:r>
        <w:rPr>
          <w:rFonts w:hint="eastAsia" w:ascii="仿宋_GB2312" w:hAnsi="仿宋_GB2312" w:cs="仿宋_GB2312"/>
          <w:color w:val="auto"/>
          <w:szCs w:val="32"/>
          <w:lang w:val="en-US" w:eastAsia="zh-CN"/>
        </w:rPr>
        <w:t>2033</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7</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28</w:t>
      </w:r>
      <w:r>
        <w:rPr>
          <w:rFonts w:hint="eastAsia" w:ascii="仿宋_GB2312" w:hAnsi="仿宋_GB2312" w:eastAsia="仿宋_GB2312" w:cs="仿宋_GB2312"/>
          <w:color w:val="auto"/>
          <w:szCs w:val="32"/>
        </w:rPr>
        <w:t>日止。</w:t>
      </w:r>
      <w:r>
        <w:rPr>
          <w:rFonts w:hint="eastAsia" w:ascii="仿宋_GB2312" w:hAnsi="仿宋_GB2312" w:cs="仿宋_GB2312"/>
          <w:color w:val="auto"/>
          <w:szCs w:val="32"/>
          <w:lang w:val="en-US" w:eastAsia="zh-CN"/>
        </w:rPr>
        <w:t>2021</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5</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20</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监狱执行刑罚。属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w:t>
      </w:r>
      <w:r>
        <w:rPr>
          <w:rFonts w:hint="eastAsia" w:ascii="仿宋_GB2312" w:hAnsi="仿宋_GB2312" w:eastAsia="仿宋_GB2312" w:cs="仿宋_GB2312"/>
          <w:iCs/>
          <w:color w:val="auto"/>
          <w:kern w:val="0"/>
          <w:szCs w:val="32"/>
          <w:lang w:val="zh-CN"/>
        </w:rPr>
        <w:t>自入监以来</w:t>
      </w:r>
      <w:r>
        <w:rPr>
          <w:rFonts w:hint="eastAsia" w:ascii="仿宋_GB2312" w:hAnsi="仿宋_GB2312" w:eastAsia="仿宋_GB2312" w:cs="仿宋_GB2312"/>
          <w:color w:val="auto"/>
          <w:szCs w:val="32"/>
        </w:rPr>
        <w:t>确有悔改表现，具体事实如下：</w:t>
      </w:r>
    </w:p>
    <w:p>
      <w:pPr>
        <w:pStyle w:val="11"/>
        <w:keepNext w:val="0"/>
        <w:keepLines w:val="0"/>
        <w:pageBreakBefore w:val="0"/>
        <w:widowControl w:val="0"/>
        <w:kinsoku/>
        <w:wordWrap/>
        <w:overflowPunct/>
        <w:topLinePunct w:val="0"/>
        <w:autoSpaceDE w:val="0"/>
        <w:autoSpaceDN w:val="0"/>
        <w:bidi w:val="0"/>
        <w:adjustRightInd w:val="0"/>
        <w:snapToGrid/>
        <w:spacing w:line="540" w:lineRule="exact"/>
        <w:jc w:val="left"/>
        <w:textAlignment w:val="auto"/>
        <w:rPr>
          <w:rFonts w:hint="eastAsia" w:ascii="仿宋_GB2312" w:hAnsi="仿宋_GB2312" w:eastAsia="仿宋_GB2312" w:cs="仿宋_GB2312"/>
          <w:iCs/>
          <w:color w:val="auto"/>
          <w:kern w:val="2"/>
          <w:szCs w:val="32"/>
        </w:rPr>
      </w:pPr>
      <w:r>
        <w:rPr>
          <w:rFonts w:hint="eastAsia" w:ascii="仿宋_GB2312" w:hAnsi="仿宋_GB2312" w:eastAsia="仿宋_GB2312" w:cs="仿宋_GB2312"/>
          <w:iCs/>
          <w:color w:val="auto"/>
          <w:kern w:val="2"/>
          <w:szCs w:val="32"/>
        </w:rPr>
        <w:t>认罪悔罪：</w:t>
      </w:r>
      <w:r>
        <w:rPr>
          <w:rFonts w:hint="eastAsia" w:ascii="仿宋_GB2312" w:hAnsi="仿宋_GB2312" w:eastAsia="仿宋_GB2312" w:cs="仿宋_GB2312"/>
          <w:iCs/>
          <w:color w:val="auto"/>
          <w:kern w:val="2"/>
          <w:szCs w:val="32"/>
          <w:lang w:val="en-US" w:eastAsia="zh-CN"/>
        </w:rPr>
        <w:t>能服从法院判决，自书认罪悔罪书</w:t>
      </w:r>
      <w:r>
        <w:rPr>
          <w:rFonts w:hint="eastAsia" w:ascii="仿宋_GB2312" w:hAnsi="仿宋_GB2312" w:cs="仿宋_GB2312"/>
          <w:iCs/>
          <w:color w:val="auto"/>
          <w:kern w:val="2"/>
          <w:szCs w:val="32"/>
          <w:lang w:val="en-US" w:eastAsia="zh-CN"/>
        </w:rPr>
        <w:t>。</w:t>
      </w:r>
    </w:p>
    <w:p>
      <w:pPr>
        <w:pStyle w:val="11"/>
        <w:keepNext w:val="0"/>
        <w:keepLines w:val="0"/>
        <w:pageBreakBefore w:val="0"/>
        <w:widowControl w:val="0"/>
        <w:kinsoku/>
        <w:wordWrap/>
        <w:overflowPunct/>
        <w:topLinePunct w:val="0"/>
        <w:autoSpaceDE w:val="0"/>
        <w:autoSpaceDN w:val="0"/>
        <w:bidi w:val="0"/>
        <w:adjustRightInd w:val="0"/>
        <w:snapToGrid/>
        <w:spacing w:line="540" w:lineRule="exact"/>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：能遵守法律法规及监规纪律，接受教育改造。</w:t>
      </w:r>
    </w:p>
    <w:p>
      <w:pPr>
        <w:pStyle w:val="11"/>
        <w:keepNext w:val="0"/>
        <w:keepLines w:val="0"/>
        <w:pageBreakBefore w:val="0"/>
        <w:widowControl w:val="0"/>
        <w:kinsoku/>
        <w:wordWrap/>
        <w:overflowPunct/>
        <w:topLinePunct w:val="0"/>
        <w:autoSpaceDE w:val="0"/>
        <w:autoSpaceDN w:val="0"/>
        <w:bidi w:val="0"/>
        <w:adjustRightInd w:val="0"/>
        <w:snapToGrid/>
        <w:spacing w:line="540" w:lineRule="exact"/>
        <w:ind w:left="640" w:firstLine="0" w:firstLineChars="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540" w:lineRule="exact"/>
        <w:ind w:firstLine="64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pStyle w:val="11"/>
        <w:keepNext w:val="0"/>
        <w:keepLines w:val="0"/>
        <w:pageBreakBefore w:val="0"/>
        <w:widowControl w:val="0"/>
        <w:kinsoku/>
        <w:wordWrap/>
        <w:overflowPunct/>
        <w:topLinePunct w:val="0"/>
        <w:autoSpaceDE w:val="0"/>
        <w:autoSpaceDN w:val="0"/>
        <w:bidi w:val="0"/>
        <w:adjustRightInd w:val="0"/>
        <w:snapToGrid/>
        <w:spacing w:line="540" w:lineRule="exact"/>
        <w:ind w:firstLine="64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奖惩情况：该犯考核期2021年5月20日至2025年1月累计获考核分4301分，表扬4次，物质奖励3次；考核期内无违规扣分。</w:t>
      </w:r>
    </w:p>
    <w:p>
      <w:pPr>
        <w:keepNext w:val="0"/>
        <w:keepLines w:val="0"/>
        <w:pageBreakBefore w:val="0"/>
        <w:widowControl w:val="0"/>
        <w:numPr>
          <w:ilvl w:val="0"/>
          <w:numId w:val="0"/>
        </w:numPr>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原判财产性判项没收个人财产人民币100000元，已履行人民币300元；其中本次提请向福建省龙岩市中级人民法院缴纳没收个人财产人民币300元。服刑期间财产刑履行比例0.3%。该犯考核期月均消费人民币156.67元（注：不包括购买药品、报刊书籍等费用），账户可用余额人民币284.35元。2025年1月17日福建省龙岩市中级人民法院财产性判项复函载明：未发现被执行人有其他可供执行的财产。</w:t>
      </w:r>
    </w:p>
    <w:p>
      <w:pPr>
        <w:keepNext w:val="0"/>
        <w:keepLines w:val="0"/>
        <w:pageBreakBefore w:val="0"/>
        <w:widowControl w:val="0"/>
        <w:numPr>
          <w:ilvl w:val="0"/>
          <w:numId w:val="0"/>
        </w:numPr>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该犯</w:t>
      </w:r>
      <w:r>
        <w:rPr>
          <w:rFonts w:hint="eastAsia" w:ascii="仿宋_GB2312" w:hAnsi="仿宋_GB2312" w:eastAsia="仿宋_GB2312" w:cs="仿宋_GB2312"/>
          <w:color w:val="auto"/>
          <w:szCs w:val="32"/>
        </w:rPr>
        <w:t>财产性判项义务履行金额未达到其个人应履行总额30%，因此提请减刑幅度扣减</w:t>
      </w:r>
      <w:r>
        <w:rPr>
          <w:rFonts w:hint="eastAsia" w:ascii="仿宋_GB2312" w:hAnsi="仿宋_GB2312" w:cs="仿宋_GB2312"/>
          <w:color w:val="auto"/>
          <w:szCs w:val="32"/>
          <w:lang w:eastAsia="zh-CN"/>
        </w:rPr>
        <w:t>三</w:t>
      </w:r>
      <w:r>
        <w:rPr>
          <w:rFonts w:hint="eastAsia" w:ascii="仿宋_GB2312" w:hAnsi="仿宋_GB2312" w:eastAsia="仿宋_GB2312" w:cs="仿宋_GB2312"/>
          <w:color w:val="auto"/>
          <w:szCs w:val="32"/>
        </w:rPr>
        <w:t>个月</w:t>
      </w:r>
      <w:r>
        <w:rPr>
          <w:rFonts w:hint="eastAsia" w:ascii="仿宋_GB2312" w:hAnsi="仿宋_GB2312" w:cs="仿宋_GB2312"/>
          <w:color w:val="auto"/>
          <w:szCs w:val="32"/>
          <w:lang w:eastAsia="zh-CN"/>
        </w:rPr>
        <w:t>。</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本案于2025年4月16日至2025年4月22日在狱内公示未收到不同意见。</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因此，依照《中华人民共和国刑法》第七十八条、第七十</w:t>
      </w:r>
      <w:r>
        <w:rPr>
          <w:rFonts w:hint="eastAsia" w:ascii="仿宋_GB2312" w:hAnsi="仿宋_GB2312" w:eastAsia="仿宋_GB2312" w:cs="仿宋_GB2312"/>
          <w:color w:val="auto"/>
          <w:szCs w:val="32"/>
          <w:lang w:val="en-US" w:eastAsia="zh-CN"/>
        </w:rPr>
        <w:t>九</w:t>
      </w:r>
      <w:r>
        <w:rPr>
          <w:rFonts w:hint="eastAsia" w:ascii="仿宋_GB2312" w:hAnsi="仿宋_GB2312" w:eastAsia="仿宋_GB2312" w:cs="仿宋_GB2312"/>
          <w:color w:val="auto"/>
          <w:szCs w:val="32"/>
        </w:rPr>
        <w:t>条</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cs="仿宋_GB2312"/>
          <w:color w:val="auto"/>
          <w:szCs w:val="32"/>
          <w:lang w:eastAsia="zh-CN"/>
        </w:rPr>
        <w:t>和</w:t>
      </w:r>
      <w:r>
        <w:rPr>
          <w:rFonts w:hint="eastAsia" w:ascii="仿宋_GB2312" w:hAnsi="仿宋_GB2312" w:eastAsia="仿宋_GB2312" w:cs="仿宋_GB2312"/>
          <w:color w:val="auto"/>
          <w:szCs w:val="32"/>
        </w:rPr>
        <w:t>《中华人民共和国监狱法》第二十九条的规定，建议对罪犯</w:t>
      </w:r>
      <w:r>
        <w:rPr>
          <w:rFonts w:hint="eastAsia" w:ascii="仿宋_GB2312" w:hAnsi="仿宋_GB2312" w:cs="仿宋_GB2312"/>
          <w:color w:val="auto"/>
          <w:szCs w:val="32"/>
          <w:lang w:eastAsia="zh-CN"/>
        </w:rPr>
        <w:t>钟窑生</w:t>
      </w:r>
      <w:r>
        <w:rPr>
          <w:rFonts w:hint="eastAsia" w:ascii="仿宋_GB2312" w:hAnsi="仿宋_GB2312" w:eastAsia="仿宋_GB2312" w:cs="仿宋_GB2312"/>
          <w:color w:val="auto"/>
          <w:szCs w:val="32"/>
        </w:rPr>
        <w:t>予以减刑</w:t>
      </w:r>
      <w:r>
        <w:rPr>
          <w:rFonts w:hint="eastAsia" w:ascii="仿宋_GB2312" w:hAnsi="仿宋_GB2312" w:cs="仿宋_GB2312"/>
          <w:color w:val="auto"/>
          <w:szCs w:val="32"/>
          <w:lang w:eastAsia="zh-CN"/>
        </w:rPr>
        <w:t>四</w:t>
      </w:r>
      <w:r>
        <w:rPr>
          <w:rFonts w:hint="eastAsia" w:ascii="仿宋_GB2312" w:hAnsi="仿宋_GB2312" w:eastAsia="仿宋_GB2312" w:cs="仿宋_GB2312"/>
          <w:color w:val="auto"/>
          <w:szCs w:val="32"/>
        </w:rPr>
        <w:t>个月。特提请你院审理裁定。</w:t>
      </w:r>
    </w:p>
    <w:p>
      <w:pPr>
        <w:pStyle w:val="2"/>
        <w:keepNext w:val="0"/>
        <w:keepLines w:val="0"/>
        <w:pageBreakBefore w:val="0"/>
        <w:widowControl w:val="0"/>
        <w:kinsoku/>
        <w:wordWrap/>
        <w:overflowPunct/>
        <w:topLinePunct w:val="0"/>
        <w:bidi w:val="0"/>
        <w:snapToGrid/>
        <w:spacing w:line="54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1"/>
        <w:keepNext w:val="0"/>
        <w:keepLines w:val="0"/>
        <w:pageBreakBefore w:val="0"/>
        <w:widowControl w:val="0"/>
        <w:kinsoku/>
        <w:wordWrap/>
        <w:overflowPunct/>
        <w:topLinePunct w:val="0"/>
        <w:bidi w:val="0"/>
        <w:snapToGrid/>
        <w:spacing w:line="54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市中级人民法院</w:t>
      </w:r>
    </w:p>
    <w:p>
      <w:pPr>
        <w:pStyle w:val="11"/>
        <w:keepNext w:val="0"/>
        <w:keepLines w:val="0"/>
        <w:pageBreakBefore w:val="0"/>
        <w:widowControl w:val="0"/>
        <w:kinsoku/>
        <w:wordWrap/>
        <w:overflowPunct/>
        <w:topLinePunct w:val="0"/>
        <w:bidi w:val="0"/>
        <w:snapToGrid/>
        <w:spacing w:line="540" w:lineRule="exact"/>
        <w:ind w:left="640" w:firstLine="0" w:firstLineChars="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54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钟窑生</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册</w:t>
      </w:r>
    </w:p>
    <w:p>
      <w:pPr>
        <w:pStyle w:val="11"/>
        <w:keepNext w:val="0"/>
        <w:keepLines w:val="0"/>
        <w:pageBreakBefore w:val="0"/>
        <w:widowControl w:val="0"/>
        <w:kinsoku/>
        <w:wordWrap/>
        <w:overflowPunct/>
        <w:topLinePunct w:val="0"/>
        <w:bidi w:val="0"/>
        <w:snapToGrid/>
        <w:spacing w:line="54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份</w:t>
      </w:r>
    </w:p>
    <w:p>
      <w:pPr>
        <w:pStyle w:val="2"/>
        <w:keepNext w:val="0"/>
        <w:keepLines w:val="0"/>
        <w:pageBreakBefore w:val="0"/>
        <w:widowControl w:val="0"/>
        <w:kinsoku/>
        <w:wordWrap/>
        <w:overflowPunct/>
        <w:topLinePunct w:val="0"/>
        <w:bidi w:val="0"/>
        <w:snapToGrid/>
        <w:spacing w:line="540" w:lineRule="exact"/>
        <w:ind w:left="640" w:right="-48" w:rightChars="-15"/>
        <w:jc w:val="left"/>
        <w:textAlignment w:val="auto"/>
        <w:rPr>
          <w:rFonts w:hint="eastAsia" w:ascii="仿宋_GB2312" w:hAnsi="仿宋_GB2312" w:eastAsia="仿宋_GB2312" w:cs="仿宋_GB2312"/>
          <w:color w:val="auto"/>
          <w:szCs w:val="32"/>
        </w:rPr>
      </w:pPr>
    </w:p>
    <w:p>
      <w:pPr>
        <w:keepNext w:val="0"/>
        <w:keepLines w:val="0"/>
        <w:pageBreakBefore w:val="0"/>
        <w:widowControl w:val="0"/>
        <w:kinsoku/>
        <w:wordWrap/>
        <w:overflowPunct/>
        <w:topLinePunct w:val="0"/>
        <w:bidi w:val="0"/>
        <w:snapToGrid/>
        <w:spacing w:line="540" w:lineRule="exact"/>
        <w:jc w:val="left"/>
        <w:textAlignment w:val="auto"/>
        <w:rPr>
          <w:rFonts w:hint="eastAsia" w:ascii="仿宋_GB2312" w:hAnsi="仿宋_GB2312" w:eastAsia="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54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w:t>
      </w:r>
    </w:p>
    <w:p>
      <w:pPr>
        <w:pStyle w:val="2"/>
        <w:keepNext w:val="0"/>
        <w:keepLines w:val="0"/>
        <w:pageBreakBefore w:val="0"/>
        <w:widowControl w:val="0"/>
        <w:kinsoku/>
        <w:wordWrap/>
        <w:overflowPunct/>
        <w:topLinePunct w:val="0"/>
        <w:autoSpaceDE/>
        <w:autoSpaceDN/>
        <w:bidi w:val="0"/>
        <w:adjustRightInd/>
        <w:snapToGrid/>
        <w:spacing w:line="54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2025年4月2</w:t>
      </w:r>
      <w:r>
        <w:rPr>
          <w:rFonts w:hint="eastAsia" w:ascii="仿宋_GB2312" w:hAnsi="仿宋_GB2312" w:cs="仿宋_GB2312"/>
          <w:color w:val="auto"/>
          <w:szCs w:val="32"/>
          <w:lang w:val="en-US" w:eastAsia="zh-CN"/>
        </w:rPr>
        <w:t>7</w:t>
      </w:r>
      <w:r>
        <w:rPr>
          <w:rFonts w:hint="eastAsia" w:ascii="仿宋_GB2312" w:hAnsi="仿宋_GB2312" w:eastAsia="仿宋_GB2312" w:cs="仿宋_GB2312"/>
          <w:color w:val="auto"/>
          <w:szCs w:val="32"/>
        </w:rPr>
        <w:t>日</w:t>
      </w:r>
    </w:p>
    <w:sectPr>
      <w:pgSz w:w="11905" w:h="16838"/>
      <w:pgMar w:top="1871" w:right="1304" w:bottom="1871" w:left="1587" w:header="850" w:footer="992" w:gutter="0"/>
      <w:pgNumType w:fmt="decimal"/>
      <w:cols w:space="720" w:num="1"/>
      <w:titlePg/>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F727EE"/>
    <w:rsid w:val="00FE0126"/>
    <w:rsid w:val="00FF7459"/>
    <w:rsid w:val="027D12FB"/>
    <w:rsid w:val="03D326C2"/>
    <w:rsid w:val="05907E6F"/>
    <w:rsid w:val="05AE6D00"/>
    <w:rsid w:val="068233F5"/>
    <w:rsid w:val="07AF789A"/>
    <w:rsid w:val="07B61CB8"/>
    <w:rsid w:val="081648E2"/>
    <w:rsid w:val="09227170"/>
    <w:rsid w:val="0B3926E1"/>
    <w:rsid w:val="0B601E14"/>
    <w:rsid w:val="0C3E42D9"/>
    <w:rsid w:val="0C4F75DC"/>
    <w:rsid w:val="0C533497"/>
    <w:rsid w:val="0C68269A"/>
    <w:rsid w:val="0C9C0BFA"/>
    <w:rsid w:val="0D2A26C0"/>
    <w:rsid w:val="0D9F4467"/>
    <w:rsid w:val="0EB305C3"/>
    <w:rsid w:val="0F137CB5"/>
    <w:rsid w:val="0F2F70D8"/>
    <w:rsid w:val="110C5044"/>
    <w:rsid w:val="123256F8"/>
    <w:rsid w:val="12D37334"/>
    <w:rsid w:val="12FD5513"/>
    <w:rsid w:val="13266B46"/>
    <w:rsid w:val="152B74B3"/>
    <w:rsid w:val="16351665"/>
    <w:rsid w:val="16695B42"/>
    <w:rsid w:val="1672618E"/>
    <w:rsid w:val="16B164BB"/>
    <w:rsid w:val="18672CAA"/>
    <w:rsid w:val="1A3A0366"/>
    <w:rsid w:val="1A797B98"/>
    <w:rsid w:val="1B3651A3"/>
    <w:rsid w:val="1C9B58CA"/>
    <w:rsid w:val="1CF81B82"/>
    <w:rsid w:val="1E1E4170"/>
    <w:rsid w:val="1E254562"/>
    <w:rsid w:val="1ECB0040"/>
    <w:rsid w:val="1EF06AE1"/>
    <w:rsid w:val="20C10415"/>
    <w:rsid w:val="234818AA"/>
    <w:rsid w:val="23B42751"/>
    <w:rsid w:val="26E37AA5"/>
    <w:rsid w:val="27181640"/>
    <w:rsid w:val="27682819"/>
    <w:rsid w:val="29587091"/>
    <w:rsid w:val="29604064"/>
    <w:rsid w:val="2BFD2379"/>
    <w:rsid w:val="2C2F2A0F"/>
    <w:rsid w:val="2C7845C8"/>
    <w:rsid w:val="2D5B3696"/>
    <w:rsid w:val="36653D31"/>
    <w:rsid w:val="36986D96"/>
    <w:rsid w:val="373C6C4A"/>
    <w:rsid w:val="39545F92"/>
    <w:rsid w:val="41A62016"/>
    <w:rsid w:val="42CF6EF1"/>
    <w:rsid w:val="42E32439"/>
    <w:rsid w:val="43021637"/>
    <w:rsid w:val="45266F69"/>
    <w:rsid w:val="45C25924"/>
    <w:rsid w:val="469C4BB4"/>
    <w:rsid w:val="46FC731C"/>
    <w:rsid w:val="48E92855"/>
    <w:rsid w:val="49FD60CF"/>
    <w:rsid w:val="4A937854"/>
    <w:rsid w:val="4C0C55BD"/>
    <w:rsid w:val="4CAA121D"/>
    <w:rsid w:val="4DBE49B0"/>
    <w:rsid w:val="4FDA015F"/>
    <w:rsid w:val="50DC6110"/>
    <w:rsid w:val="526A219B"/>
    <w:rsid w:val="533D0693"/>
    <w:rsid w:val="53EC7365"/>
    <w:rsid w:val="54647A90"/>
    <w:rsid w:val="55095EB9"/>
    <w:rsid w:val="599B42E1"/>
    <w:rsid w:val="5C7D3B00"/>
    <w:rsid w:val="5D2B27E7"/>
    <w:rsid w:val="5EFD0E28"/>
    <w:rsid w:val="5FB32327"/>
    <w:rsid w:val="60C3179E"/>
    <w:rsid w:val="6385269A"/>
    <w:rsid w:val="63997AC2"/>
    <w:rsid w:val="64061DAE"/>
    <w:rsid w:val="64F2539B"/>
    <w:rsid w:val="680F4F43"/>
    <w:rsid w:val="6A243776"/>
    <w:rsid w:val="6BFF7DB3"/>
    <w:rsid w:val="6E337CDC"/>
    <w:rsid w:val="6E5724CC"/>
    <w:rsid w:val="6FA16DDA"/>
    <w:rsid w:val="71277157"/>
    <w:rsid w:val="71743704"/>
    <w:rsid w:val="73991756"/>
    <w:rsid w:val="73AB002E"/>
    <w:rsid w:val="73D0574B"/>
    <w:rsid w:val="77564B75"/>
    <w:rsid w:val="7B711D81"/>
    <w:rsid w:val="7DE84F16"/>
    <w:rsid w:val="7E300D0E"/>
    <w:rsid w:val="7EA5274C"/>
    <w:rsid w:val="7F951C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字符"/>
    <w:link w:val="2"/>
    <w:qFormat/>
    <w:locked/>
    <w:uiPriority w:val="99"/>
    <w:rPr>
      <w:rFonts w:eastAsia="仿宋_GB2312"/>
      <w:kern w:val="32"/>
      <w:sz w:val="32"/>
    </w:rPr>
  </w:style>
  <w:style w:type="character" w:customStyle="1" w:styleId="10">
    <w:name w:val="批注框文本 字符"/>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0</TotalTime>
  <ScaleCrop>false</ScaleCrop>
  <LinksUpToDate>false</LinksUpToDate>
  <CharactersWithSpaces>10347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2025-04-16T06:53:00Z</cp:lastPrinted>
  <dcterms:modified xsi:type="dcterms:W3CDTF">2025-04-29T08:47:26Z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