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25</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147</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黄杰，男，1988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val="en-US" w:eastAsia="zh-CN"/>
        </w:rPr>
        <w:t>初中文化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户籍所在地福建省长汀县</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无业</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福建省厦门市中级</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2018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23</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2017</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02</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cs="仿宋_GB2312"/>
          <w:color w:val="auto"/>
          <w:szCs w:val="32"/>
          <w:lang w:val="en-US" w:eastAsia="zh-CN"/>
        </w:rPr>
        <w:t>118</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黄杰</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贩卖、运输毒品</w:t>
      </w:r>
      <w:r>
        <w:rPr>
          <w:rFonts w:hint="eastAsia" w:ascii="仿宋_GB2312" w:hAnsi="仿宋_GB2312" w:eastAsia="仿宋_GB2312" w:cs="仿宋_GB2312"/>
          <w:color w:val="auto"/>
          <w:szCs w:val="32"/>
        </w:rPr>
        <w:t>罪，判处无期徒刑，剥夺政治权利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没收个人全部财产</w:t>
      </w:r>
      <w:r>
        <w:rPr>
          <w:rFonts w:hint="eastAsia" w:ascii="仿宋_GB2312" w:hAnsi="仿宋_GB2312" w:eastAsia="仿宋_GB2312" w:cs="仿宋_GB2312"/>
          <w:color w:val="auto"/>
          <w:szCs w:val="32"/>
        </w:rPr>
        <w:t>。宣判后，该犯不服，提出上诉。福建省</w:t>
      </w:r>
      <w:r>
        <w:rPr>
          <w:rFonts w:hint="eastAsia" w:ascii="仿宋_GB2312" w:hAnsi="仿宋_GB2312" w:cs="仿宋_GB2312"/>
          <w:color w:val="auto"/>
          <w:szCs w:val="32"/>
          <w:lang w:eastAsia="zh-CN"/>
        </w:rPr>
        <w:t>高</w:t>
      </w:r>
      <w:r>
        <w:rPr>
          <w:rFonts w:hint="eastAsia" w:ascii="仿宋_GB2312" w:hAnsi="仿宋_GB2312" w:eastAsia="仿宋_GB2312" w:cs="仿宋_GB2312"/>
          <w:color w:val="auto"/>
          <w:szCs w:val="32"/>
        </w:rPr>
        <w:t>级人民法院于</w:t>
      </w:r>
      <w:r>
        <w:rPr>
          <w:rFonts w:hint="eastAsia" w:ascii="仿宋_GB2312" w:hAnsi="仿宋_GB2312" w:cs="仿宋_GB2312"/>
          <w:color w:val="auto"/>
          <w:szCs w:val="32"/>
          <w:lang w:val="en-US" w:eastAsia="zh-CN"/>
        </w:rPr>
        <w:t>2018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29</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2018</w:t>
      </w:r>
      <w:r>
        <w:rPr>
          <w:rFonts w:hint="eastAsia" w:ascii="仿宋_GB2312" w:hAnsi="仿宋_GB2312" w:eastAsia="仿宋_GB2312" w:cs="仿宋_GB2312"/>
          <w:color w:val="auto"/>
          <w:szCs w:val="32"/>
        </w:rPr>
        <w:t>）闽刑终</w:t>
      </w:r>
      <w:r>
        <w:rPr>
          <w:rFonts w:hint="eastAsia" w:ascii="仿宋_GB2312" w:hAnsi="仿宋_GB2312" w:cs="仿宋_GB2312"/>
          <w:color w:val="auto"/>
          <w:szCs w:val="32"/>
          <w:lang w:val="en-US" w:eastAsia="zh-CN"/>
        </w:rPr>
        <w:t>186</w:t>
      </w:r>
      <w:r>
        <w:rPr>
          <w:rFonts w:hint="eastAsia" w:ascii="仿宋_GB2312" w:hAnsi="仿宋_GB2312" w:eastAsia="仿宋_GB2312" w:cs="仿宋_GB2312"/>
          <w:color w:val="auto"/>
          <w:szCs w:val="32"/>
        </w:rPr>
        <w:t>号刑事</w:t>
      </w:r>
      <w:r>
        <w:rPr>
          <w:rFonts w:hint="eastAsia" w:ascii="仿宋_GB2312" w:hAnsi="仿宋_GB2312" w:cs="仿宋_GB2312"/>
          <w:color w:val="auto"/>
          <w:szCs w:val="32"/>
          <w:lang w:eastAsia="zh-CN"/>
        </w:rPr>
        <w:t>判决</w:t>
      </w:r>
      <w:r>
        <w:rPr>
          <w:rFonts w:hint="eastAsia" w:ascii="仿宋_GB2312" w:hAnsi="仿宋_GB2312" w:eastAsia="仿宋_GB2312" w:cs="仿宋_GB2312"/>
          <w:color w:val="auto"/>
          <w:szCs w:val="32"/>
        </w:rPr>
        <w:t>，驳回</w:t>
      </w:r>
      <w:r>
        <w:rPr>
          <w:rFonts w:hint="eastAsia" w:ascii="仿宋_GB2312" w:hAnsi="仿宋_GB2312" w:cs="仿宋_GB2312"/>
          <w:color w:val="auto"/>
          <w:szCs w:val="32"/>
          <w:lang w:eastAsia="zh-CN"/>
        </w:rPr>
        <w:t>该犯</w:t>
      </w:r>
      <w:r>
        <w:rPr>
          <w:rFonts w:hint="eastAsia" w:ascii="仿宋_GB2312" w:hAnsi="仿宋_GB2312" w:eastAsia="仿宋_GB2312" w:cs="仿宋_GB2312"/>
          <w:color w:val="auto"/>
          <w:szCs w:val="32"/>
        </w:rPr>
        <w:t>上诉，维持</w:t>
      </w:r>
      <w:r>
        <w:rPr>
          <w:rFonts w:hint="eastAsia" w:ascii="仿宋_GB2312" w:hAnsi="仿宋_GB2312" w:cs="仿宋_GB2312"/>
          <w:color w:val="auto"/>
          <w:szCs w:val="32"/>
          <w:lang w:eastAsia="zh-CN"/>
        </w:rPr>
        <w:t>对该犯定罪处刑的判决</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val="en-US" w:eastAsia="zh-CN"/>
        </w:rPr>
        <w:t>2019</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9</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25</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福建省高级</w:t>
      </w:r>
      <w:r>
        <w:rPr>
          <w:rFonts w:hint="eastAsia" w:ascii="仿宋_GB2312" w:hAnsi="仿宋_GB2312" w:eastAsia="仿宋_GB2312" w:cs="仿宋_GB2312"/>
          <w:color w:val="auto"/>
          <w:szCs w:val="32"/>
        </w:rPr>
        <w:t>人民法院以</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2022</w:t>
      </w:r>
      <w:r>
        <w:rPr>
          <w:rFonts w:hint="eastAsia" w:ascii="仿宋_GB2312" w:hAnsi="仿宋_GB2312" w:cs="仿宋_GB2312"/>
          <w:color w:val="auto"/>
          <w:szCs w:val="32"/>
          <w:lang w:eastAsia="zh-CN"/>
        </w:rPr>
        <w:t>）闽刑更</w:t>
      </w:r>
      <w:r>
        <w:rPr>
          <w:rFonts w:hint="eastAsia" w:ascii="仿宋_GB2312" w:hAnsi="仿宋_GB2312" w:cs="仿宋_GB2312"/>
          <w:color w:val="auto"/>
          <w:szCs w:val="32"/>
          <w:lang w:val="en-US" w:eastAsia="zh-CN"/>
        </w:rPr>
        <w:t>291号</w:t>
      </w:r>
      <w:r>
        <w:rPr>
          <w:rFonts w:hint="eastAsia" w:ascii="仿宋_GB2312" w:hAnsi="仿宋_GB2312" w:eastAsia="仿宋_GB2312" w:cs="仿宋_GB2312"/>
          <w:color w:val="auto"/>
          <w:szCs w:val="32"/>
        </w:rPr>
        <w:t>刑事裁定书，对其减为有期徒刑</w:t>
      </w:r>
      <w:r>
        <w:rPr>
          <w:rFonts w:hint="eastAsia" w:ascii="仿宋_GB2312" w:hAnsi="仿宋_GB2312" w:cs="仿宋_GB2312"/>
          <w:color w:val="auto"/>
          <w:szCs w:val="32"/>
          <w:lang w:eastAsia="zh-CN"/>
        </w:rPr>
        <w:t>二十二</w:t>
      </w:r>
      <w:r>
        <w:rPr>
          <w:rFonts w:hint="eastAsia" w:ascii="仿宋_GB2312" w:hAnsi="仿宋_GB2312" w:eastAsia="仿宋_GB2312" w:cs="仿宋_GB2312"/>
          <w:color w:val="auto"/>
          <w:szCs w:val="32"/>
        </w:rPr>
        <w:t>年，剥夺政治权利</w:t>
      </w:r>
      <w:r>
        <w:rPr>
          <w:rFonts w:hint="eastAsia" w:ascii="仿宋_GB2312" w:hAnsi="仿宋_GB2312" w:cs="仿宋_GB2312"/>
          <w:color w:val="auto"/>
          <w:szCs w:val="32"/>
          <w:lang w:eastAsia="zh-CN"/>
        </w:rPr>
        <w:t>改为十</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24</w:t>
      </w:r>
      <w:r>
        <w:rPr>
          <w:rFonts w:hint="eastAsia" w:ascii="仿宋_GB2312" w:hAnsi="仿宋_GB2312" w:eastAsia="仿宋_GB2312" w:cs="仿宋_GB2312"/>
          <w:color w:val="auto"/>
          <w:szCs w:val="32"/>
        </w:rPr>
        <w:t>日送达，刑期</w:t>
      </w:r>
      <w:r>
        <w:rPr>
          <w:rFonts w:hint="eastAsia" w:ascii="仿宋_GB2312" w:hAnsi="仿宋_GB2312" w:cs="仿宋_GB2312"/>
          <w:color w:val="auto"/>
          <w:szCs w:val="32"/>
          <w:lang w:eastAsia="zh-CN"/>
        </w:rPr>
        <w:t>自</w:t>
      </w:r>
      <w:r>
        <w:rPr>
          <w:rFonts w:hint="eastAsia" w:ascii="仿宋_GB2312" w:hAnsi="仿宋_GB2312" w:cs="仿宋_GB2312"/>
          <w:color w:val="auto"/>
          <w:szCs w:val="32"/>
          <w:lang w:val="en-US" w:eastAsia="zh-CN"/>
        </w:rPr>
        <w:t>2022年7月25日起</w:t>
      </w:r>
      <w:r>
        <w:rPr>
          <w:rFonts w:hint="eastAsia" w:ascii="仿宋_GB2312" w:hAnsi="仿宋_GB2312" w:eastAsia="仿宋_GB2312" w:cs="仿宋_GB2312"/>
          <w:color w:val="auto"/>
          <w:szCs w:val="32"/>
        </w:rPr>
        <w:t>至</w:t>
      </w:r>
      <w:r>
        <w:rPr>
          <w:rFonts w:hint="eastAsia" w:ascii="仿宋_GB2312" w:hAnsi="仿宋_GB2312" w:cs="仿宋_GB2312"/>
          <w:color w:val="auto"/>
          <w:szCs w:val="32"/>
          <w:lang w:val="en-US" w:eastAsia="zh-CN"/>
        </w:rPr>
        <w:t>2044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24</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止</w:t>
      </w:r>
      <w:r>
        <w:rPr>
          <w:rFonts w:hint="eastAsia" w:ascii="仿宋_GB2312" w:hAnsi="仿宋_GB2312" w:eastAsia="仿宋_GB2312" w:cs="仿宋_GB2312"/>
          <w:color w:val="auto"/>
          <w:szCs w:val="32"/>
        </w:rPr>
        <w:t>。属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w:t>
      </w:r>
      <w:r>
        <w:rPr>
          <w:rFonts w:hint="eastAsia" w:ascii="仿宋_GB2312" w:hAnsi="仿宋_GB2312" w:eastAsia="仿宋_GB2312" w:cs="仿宋_GB2312"/>
          <w:iCs/>
          <w:color w:val="auto"/>
          <w:kern w:val="0"/>
          <w:szCs w:val="32"/>
          <w:lang w:val="en-US" w:eastAsia="zh-CN"/>
        </w:rPr>
        <w:t>上次</w:t>
      </w:r>
      <w:r>
        <w:rPr>
          <w:rFonts w:hint="eastAsia" w:ascii="仿宋_GB2312" w:hAnsi="仿宋_GB2312" w:eastAsia="仿宋_GB2312" w:cs="仿宋_GB2312"/>
          <w:iCs/>
          <w:color w:val="auto"/>
          <w:kern w:val="0"/>
          <w:szCs w:val="32"/>
          <w:lang w:val="zh-CN"/>
        </w:rPr>
        <w:t>减刑以来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w:t>
      </w:r>
      <w:r>
        <w:rPr>
          <w:rFonts w:hint="eastAsia" w:ascii="仿宋_GB2312" w:hAnsi="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keepNext w:val="0"/>
        <w:keepLines w:val="0"/>
        <w:pageBreakBefore w:val="0"/>
        <w:widowControl w:val="0"/>
        <w:numPr>
          <w:ilvl w:val="0"/>
          <w:numId w:val="0"/>
        </w:numPr>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奖惩情况：该犯上次评定表扬剩余考核分278.5分，本轮考核期2022年2月至2025年1月累计获考核分3717分，合计获得考核分3995.5分，表扬5次</w:t>
      </w:r>
      <w:r>
        <w:rPr>
          <w:rFonts w:hint="eastAsia" w:ascii="仿宋_GB2312" w:hAnsi="仿宋_GB2312" w:cs="仿宋_GB2312"/>
          <w:bCs/>
          <w:color w:val="auto"/>
          <w:szCs w:val="32"/>
          <w:lang w:val="zh-CN" w:eastAsia="zh-CN"/>
        </w:rPr>
        <w:t>，不予奖励</w:t>
      </w:r>
      <w:r>
        <w:rPr>
          <w:rFonts w:hint="eastAsia" w:ascii="仿宋_GB2312" w:hAnsi="仿宋_GB2312" w:cs="仿宋_GB2312"/>
          <w:bCs/>
          <w:color w:val="auto"/>
          <w:szCs w:val="32"/>
          <w:lang w:val="en-US" w:eastAsia="zh-CN"/>
        </w:rPr>
        <w:t>1次</w:t>
      </w:r>
      <w:r>
        <w:rPr>
          <w:rFonts w:hint="eastAsia" w:ascii="仿宋_GB2312" w:hAnsi="仿宋_GB2312" w:eastAsia="仿宋_GB2312" w:cs="仿宋_GB2312"/>
          <w:bCs/>
          <w:color w:val="auto"/>
          <w:szCs w:val="32"/>
          <w:lang w:val="zh-CN" w:eastAsia="zh-CN"/>
        </w:rPr>
        <w:t>；间隔期2022年8月24日至2025年1月，获考核分2981分。考核期内违规1次，累计扣35分，其中重大违规1次：2023年8月6日因试图使用二分队定点台的剪刀进行自伤自残，情节轻微，扣35分。</w:t>
      </w:r>
    </w:p>
    <w:p>
      <w:pPr>
        <w:keepNext w:val="0"/>
        <w:keepLines w:val="0"/>
        <w:pageBreakBefore w:val="0"/>
        <w:widowControl w:val="0"/>
        <w:numPr>
          <w:ilvl w:val="0"/>
          <w:numId w:val="0"/>
        </w:numPr>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没收个人全部财产，已履行人民币1000元；其中本次提请向福建省厦门市中级人民法院缴纳没收个人财产人民币500元。该犯考核期月均消费人民币247.71元（注：不包括购买药品、报刊书籍等费用），账户可用余额人民币858.72元。2025年1月3日福建省厦门市中级人民法院财产性判项复函载明：本案现已终结对被执行人黄杰财产刑的执行程序。</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本案于2025年4月16日至2025年4月22日在狱内公示未收到不同意见。</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黄杰</w:t>
      </w:r>
      <w:r>
        <w:rPr>
          <w:rFonts w:hint="eastAsia" w:ascii="仿宋_GB2312" w:hAnsi="仿宋_GB2312" w:eastAsia="仿宋_GB2312" w:cs="仿宋_GB2312"/>
          <w:color w:val="auto"/>
          <w:szCs w:val="32"/>
        </w:rPr>
        <w:t>予以八个月，剥夺政治权利十年不变。特提请你院审理裁定。</w:t>
      </w:r>
    </w:p>
    <w:p>
      <w:pPr>
        <w:pStyle w:val="2"/>
        <w:keepNext w:val="0"/>
        <w:keepLines w:val="0"/>
        <w:pageBreakBefore w:val="0"/>
        <w:widowControl w:val="0"/>
        <w:kinsoku/>
        <w:wordWrap/>
        <w:overflowPunct/>
        <w:topLinePunct w:val="0"/>
        <w:bidi w:val="0"/>
        <w:snapToGrid/>
        <w:spacing w:line="5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50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黄杰</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50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份</w:t>
      </w:r>
    </w:p>
    <w:p>
      <w:pPr>
        <w:pStyle w:val="2"/>
        <w:keepNext w:val="0"/>
        <w:keepLines w:val="0"/>
        <w:pageBreakBefore w:val="0"/>
        <w:widowControl w:val="0"/>
        <w:kinsoku/>
        <w:wordWrap/>
        <w:overflowPunct/>
        <w:topLinePunct w:val="0"/>
        <w:bidi w:val="0"/>
        <w:snapToGrid/>
        <w:spacing w:line="500" w:lineRule="exact"/>
        <w:ind w:left="640" w:right="-48" w:rightChars="-15"/>
        <w:jc w:val="left"/>
        <w:textAlignment w:val="auto"/>
        <w:rPr>
          <w:rFonts w:hint="eastAsia" w:ascii="仿宋_GB2312" w:hAnsi="仿宋_GB2312" w:eastAsia="仿宋_GB2312" w:cs="仿宋_GB2312"/>
          <w:color w:val="auto"/>
          <w:szCs w:val="32"/>
        </w:rPr>
      </w:pPr>
    </w:p>
    <w:p>
      <w:pPr>
        <w:keepNext w:val="0"/>
        <w:keepLines w:val="0"/>
        <w:pageBreakBefore w:val="0"/>
        <w:widowControl w:val="0"/>
        <w:kinsoku/>
        <w:wordWrap/>
        <w:overflowPunct/>
        <w:topLinePunct w:val="0"/>
        <w:bidi w:val="0"/>
        <w:snapToGrid/>
        <w:spacing w:line="50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50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50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2025年4月2</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日</w:t>
      </w:r>
    </w:p>
    <w:sectPr>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B305C3"/>
    <w:rsid w:val="0F137CB5"/>
    <w:rsid w:val="0F2F70D8"/>
    <w:rsid w:val="110C5044"/>
    <w:rsid w:val="123256F8"/>
    <w:rsid w:val="12D37334"/>
    <w:rsid w:val="12FD5513"/>
    <w:rsid w:val="13266B46"/>
    <w:rsid w:val="14C65BF8"/>
    <w:rsid w:val="152B74B3"/>
    <w:rsid w:val="16351665"/>
    <w:rsid w:val="16695B42"/>
    <w:rsid w:val="1672618E"/>
    <w:rsid w:val="16B164BB"/>
    <w:rsid w:val="18672CAA"/>
    <w:rsid w:val="1A3A0366"/>
    <w:rsid w:val="1A797B98"/>
    <w:rsid w:val="1B3651A3"/>
    <w:rsid w:val="1C9B58CA"/>
    <w:rsid w:val="1CF81B82"/>
    <w:rsid w:val="1E1E4170"/>
    <w:rsid w:val="1E254562"/>
    <w:rsid w:val="1ECB0040"/>
    <w:rsid w:val="1EF06AE1"/>
    <w:rsid w:val="20992610"/>
    <w:rsid w:val="20C10415"/>
    <w:rsid w:val="234818AA"/>
    <w:rsid w:val="23B42751"/>
    <w:rsid w:val="26E37AA5"/>
    <w:rsid w:val="27181640"/>
    <w:rsid w:val="27682819"/>
    <w:rsid w:val="29587091"/>
    <w:rsid w:val="29604064"/>
    <w:rsid w:val="2A3A0106"/>
    <w:rsid w:val="2BFD2379"/>
    <w:rsid w:val="2C2F2A0F"/>
    <w:rsid w:val="2C7845C8"/>
    <w:rsid w:val="2D5B3696"/>
    <w:rsid w:val="33951141"/>
    <w:rsid w:val="36653D31"/>
    <w:rsid w:val="36986D96"/>
    <w:rsid w:val="373C6C4A"/>
    <w:rsid w:val="39545F92"/>
    <w:rsid w:val="41A62016"/>
    <w:rsid w:val="42CF6EF1"/>
    <w:rsid w:val="43021637"/>
    <w:rsid w:val="45266F69"/>
    <w:rsid w:val="45C25924"/>
    <w:rsid w:val="469C4BB4"/>
    <w:rsid w:val="46FC731C"/>
    <w:rsid w:val="48E92855"/>
    <w:rsid w:val="49FD60CF"/>
    <w:rsid w:val="4A937854"/>
    <w:rsid w:val="4C0C55BD"/>
    <w:rsid w:val="4CAA121D"/>
    <w:rsid w:val="4DBE49B0"/>
    <w:rsid w:val="4F880B21"/>
    <w:rsid w:val="4FDA015F"/>
    <w:rsid w:val="50DC6110"/>
    <w:rsid w:val="526A219B"/>
    <w:rsid w:val="533D0693"/>
    <w:rsid w:val="53EC7365"/>
    <w:rsid w:val="54647A90"/>
    <w:rsid w:val="55095EB9"/>
    <w:rsid w:val="599B42E1"/>
    <w:rsid w:val="5C7D3B00"/>
    <w:rsid w:val="5D2B27E7"/>
    <w:rsid w:val="5EFD0E28"/>
    <w:rsid w:val="5FB32327"/>
    <w:rsid w:val="60C3179E"/>
    <w:rsid w:val="6385269A"/>
    <w:rsid w:val="63997AC2"/>
    <w:rsid w:val="64061DAE"/>
    <w:rsid w:val="64F2539B"/>
    <w:rsid w:val="6A243776"/>
    <w:rsid w:val="6BFF7DB3"/>
    <w:rsid w:val="6CAB25E7"/>
    <w:rsid w:val="6E337CDC"/>
    <w:rsid w:val="6E5724CC"/>
    <w:rsid w:val="6FA16DDA"/>
    <w:rsid w:val="71277157"/>
    <w:rsid w:val="71743704"/>
    <w:rsid w:val="73991756"/>
    <w:rsid w:val="73AB002E"/>
    <w:rsid w:val="77564B75"/>
    <w:rsid w:val="7B711D81"/>
    <w:rsid w:val="7DE84F16"/>
    <w:rsid w:val="7E300D0E"/>
    <w:rsid w:val="7EA52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1</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2025-04-16T06:28:00Z</cp:lastPrinted>
  <dcterms:modified xsi:type="dcterms:W3CDTF">2025-04-29T02:14:58Z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