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</w:t>
      </w:r>
      <w:r>
        <w:rPr>
          <w:rFonts w:hint="eastAsia" w:ascii="KaiTi_GB2312" w:eastAsia="KaiTi_GB2312" w:cs="KaiTi_GB2312"/>
          <w:sz w:val="32"/>
          <w:szCs w:val="32"/>
          <w:lang w:val="en-US" w:eastAsia="zh-CN"/>
        </w:rPr>
        <w:t>310</w:t>
      </w:r>
      <w:r>
        <w:rPr>
          <w:rFonts w:hint="eastAsia" w:ascii="KaiTi_GB2312" w:eastAsia="KaiTi_GB2312" w:cs="KaiTi_GB2312"/>
          <w:sz w:val="32"/>
          <w:szCs w:val="32"/>
        </w:rPr>
        <w:t>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罪犯刘波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，男，1989年4月6日出生，汉族，初中文化，住江西省宜春市袁州区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，捕前系无业。</w:t>
      </w:r>
    </w:p>
    <w:p>
      <w:pPr>
        <w:spacing w:line="48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kern w:val="0"/>
          <w:sz w:val="32"/>
          <w:szCs w:val="32"/>
        </w:rPr>
        <w:t>福建省泉州市中级人民法院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于2010年11月29日作出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(2010)泉刑初字第200号刑事判决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，以被告人刘波犯盗窃罪,判处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无期徒刑，剥夺政治权利终身,并处没收个人财产全部,继续追缴违法所得人民币130000元,共同赔偿被害人经济损失人民币2230731元。宣判后，该犯不服，提出上诉。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福建省高级人民法院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于2011年1月14日作出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(2011)闽刑终字第25号刑事裁定，驳回上诉，维持原判。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2011年2月18日交付漳州监狱执行刑罚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2013年8月26日，福建省高级人民法院以（2013）闽刑执字第676号刑事裁定书，对其减为有期徒刑十八年六个月,剥夺政治权利改为七年,刑期自2013年8月26日起至2032年2月25日止；2015年10月20日，福建省漳州市中级人民法院以（2015）漳刑执字第1475号刑事裁定书，对其减刑一年六个月,剥夺政治权利七年不变; 2018年1月17日，福建省漳州市中级人民法院以（2018）闽06刑更17号刑事裁定书，对其减刑七个月,剥夺政治权利七年不变; 2020年10月21日，福建省漳州市中级人民法院以（2020）闽06刑更933号刑事裁定书，对其减刑六个月,剥夺政治权利七年不变，裁定于2020年10月22日送达，现刑期至2029年7月25日止。属普管级罪犯。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165.5分，本轮考核期2020年6月至2025年3月累计获考核分6518分，合计获得考核分6683.5分，表扬8次,物质奖励3次；间隔期2020年10月22日至2025年3月，获考核分5877分。考核期内违规3次,累计</w:t>
      </w:r>
      <w:r>
        <w:rPr>
          <w:rFonts w:ascii="FangSong_GB2312" w:hAnsi="Times New Roman" w:eastAsia="FangSong_GB2312"/>
          <w:kern w:val="32"/>
          <w:sz w:val="32"/>
          <w:szCs w:val="32"/>
        </w:rPr>
        <w:t>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考核分21</w:t>
      </w:r>
      <w:r>
        <w:rPr>
          <w:rFonts w:ascii="FangSong_GB2312" w:hAnsi="Times New Roman" w:eastAsia="FangSong_GB2312"/>
          <w:kern w:val="32"/>
          <w:sz w:val="32"/>
          <w:szCs w:val="32"/>
        </w:rPr>
        <w:t>分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,无重大违规。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没收个人财产全部,未履行;继续追缴违法所得人民币130000元,已履行人民币16675元,其中本次提请向福建省泉州市中级人民法院履行人民币6000元;共同赔偿被害人经济损失人民币2230731元,本次提请向福建省泉州市中级人民法院履行人民币4000元,服刑期间履行比例0.8%。该犯考核期月均消费人民币266.08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，账户可用余额人民币888.95元。福建省泉州市中级人民法院于2024年12月26日复函载明：未发现被执行人有可供执行财产及线索。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kern w:val="0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2025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日至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2025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因此，依照《中华人民共和国刑法》第七十八条、第七十九条，《中华人民共和国刑事诉讼法》第二百七十三条第二款、《中华人民共和国监狱法》第二十九条的规定，建议对罪犯刘波予以减刑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六个月，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剥夺政治权利七年不变。特提请你院审理裁定。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刘波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600" w:firstLineChars="175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953"/>
    <w:rsid w:val="00AB1953"/>
    <w:rsid w:val="645203CF"/>
    <w:rsid w:val="7BE9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2025-06-23T00:56:00Z</dcterms:created>
  <dc:creator>PC</dc:creator>
  <cp:lastModifiedBy>叶志胜</cp:lastModifiedBy>
  <dcterms:modified xsi:type="dcterms:W3CDTF">2025-06-24T11:01:18Z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C2533E2CFB88442CA41DB2C7C20B489F</vt:lpwstr>
  </property>
</Properties>
</file>