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325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陈伏坤</w:t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88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日出生，汉族，大专文化，住福建省霞浦县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无业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南靖县</w:t>
      </w:r>
      <w:r>
        <w:rPr>
          <w:rFonts w:hint="eastAsia" w:ascii="仿宋_GB2312" w:hAnsi="Times New Roman" w:cs="Times New Roman"/>
          <w:szCs w:val="32"/>
        </w:rPr>
        <w:t>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</w:rPr>
        <w:t>日作出（</w:t>
      </w:r>
      <w:r>
        <w:rPr>
          <w:rFonts w:hint="eastAsia" w:ascii="仿宋_GB2312" w:hAnsi="Times New Roman" w:cs="Times New Roman"/>
          <w:szCs w:val="32"/>
          <w:lang w:val="en-US" w:eastAsia="zh-CN"/>
        </w:rPr>
        <w:t>2019</w:t>
      </w:r>
      <w:r>
        <w:rPr>
          <w:rFonts w:hint="eastAsia" w:ascii="仿宋_GB2312" w:hAnsi="Times New Roman" w:cs="Times New Roman"/>
          <w:szCs w:val="32"/>
        </w:rPr>
        <w:t>)</w:t>
      </w:r>
      <w:r>
        <w:rPr>
          <w:rFonts w:hint="eastAsia" w:ascii="仿宋_GB2312" w:hAnsi="Times New Roman" w:cs="Times New Roman"/>
          <w:szCs w:val="32"/>
          <w:lang w:eastAsia="zh-CN"/>
        </w:rPr>
        <w:t>闽</w:t>
      </w:r>
      <w:r>
        <w:rPr>
          <w:rFonts w:hint="eastAsia" w:ascii="仿宋_GB2312" w:hAnsi="Times New Roman" w:cs="Times New Roman"/>
          <w:szCs w:val="32"/>
          <w:lang w:val="en-US" w:eastAsia="zh-CN"/>
        </w:rPr>
        <w:t>0627</w:t>
      </w:r>
      <w:r>
        <w:rPr>
          <w:rFonts w:hint="eastAsia" w:ascii="仿宋_GB2312" w:hAnsi="Times New Roman" w:cs="Times New Roman"/>
          <w:szCs w:val="32"/>
          <w:lang w:eastAsia="zh-CN"/>
        </w:rPr>
        <w:t>刑</w:t>
      </w:r>
      <w:r>
        <w:rPr>
          <w:rFonts w:hint="eastAsia" w:ascii="仿宋_GB2312" w:hAnsi="Times New Roman" w:cs="Times New Roman"/>
          <w:szCs w:val="32"/>
        </w:rPr>
        <w:t>初</w:t>
      </w:r>
      <w:r>
        <w:rPr>
          <w:rFonts w:hint="eastAsia" w:ascii="仿宋_GB2312" w:hAnsi="Times New Roman" w:cs="Times New Roman"/>
          <w:szCs w:val="32"/>
          <w:lang w:val="en-US" w:eastAsia="zh-CN"/>
        </w:rPr>
        <w:t>35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陈伏坤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诈骗</w:t>
      </w:r>
      <w:r>
        <w:rPr>
          <w:rFonts w:hint="eastAsia" w:ascii="仿宋_GB2312" w:hAnsi="Times New Roman" w:cs="Times New Roman"/>
          <w:szCs w:val="32"/>
        </w:rPr>
        <w:t>罪，判处</w:t>
      </w:r>
      <w:r>
        <w:rPr>
          <w:rFonts w:hint="eastAsia" w:ascii="仿宋_GB2312" w:hAnsi="Times New Roman" w:cs="Times New Roman"/>
          <w:szCs w:val="32"/>
          <w:lang w:eastAsia="zh-CN"/>
        </w:rPr>
        <w:t>有</w:t>
      </w:r>
      <w:r>
        <w:rPr>
          <w:rFonts w:hint="eastAsia" w:ascii="仿宋_GB2312" w:hAnsi="Times New Roman" w:cs="Times New Roman"/>
          <w:szCs w:val="32"/>
        </w:rPr>
        <w:t>期徒刑</w:t>
      </w:r>
      <w:r>
        <w:rPr>
          <w:rFonts w:hint="eastAsia" w:ascii="仿宋_GB2312" w:hAnsi="Times New Roman" w:cs="Times New Roman"/>
          <w:szCs w:val="32"/>
          <w:lang w:eastAsia="zh-CN"/>
        </w:rPr>
        <w:t>十一年六个月，并处罚金人民币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300000元，追缴违法所得人民币1073466元</w:t>
      </w:r>
      <w:r>
        <w:rPr>
          <w:rFonts w:hint="eastAsia" w:ascii="仿宋_GB2312" w:hAnsi="Times New Roman" w:cs="Times New Roman"/>
          <w:szCs w:val="32"/>
        </w:rPr>
        <w:t>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日起至202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</w:rPr>
        <w:t>日止</w:t>
      </w:r>
      <w:r>
        <w:rPr>
          <w:rFonts w:hint="eastAsia" w:ascii="仿宋_GB2312" w:hAnsi="Times New Roman" w:cs="Times New Roman"/>
          <w:szCs w:val="32"/>
          <w:lang w:eastAsia="zh-CN"/>
        </w:rPr>
        <w:t>。201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  <w:lang w:eastAsia="zh-CN"/>
        </w:rPr>
        <w:t>日交付福建省漳州监狱执行刑罚。20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  <w:lang w:eastAsia="zh-CN"/>
        </w:rPr>
        <w:t>日，福建省漳州市中级人民法院以（20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szCs w:val="32"/>
          <w:lang w:eastAsia="zh-CN"/>
        </w:rPr>
        <w:t>)闽06刑更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480</w:t>
      </w:r>
      <w:r>
        <w:rPr>
          <w:rFonts w:hint="eastAsia" w:ascii="仿宋_GB2312" w:hAnsi="Times New Roman" w:cs="Times New Roman"/>
          <w:szCs w:val="32"/>
          <w:lang w:eastAsia="zh-CN"/>
        </w:rPr>
        <w:t>号刑事裁定书，对其减刑五个月，202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eastAsia="zh-CN"/>
        </w:rPr>
        <w:t>月2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日送达。现刑期至20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29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20</w:t>
      </w:r>
      <w:r>
        <w:rPr>
          <w:rFonts w:hint="eastAsia" w:ascii="仿宋_GB2312" w:hAnsi="Times New Roman" w:cs="Times New Roman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</w:t>
      </w:r>
      <w:r>
        <w:rPr>
          <w:rFonts w:hint="eastAsia" w:ascii="仿宋_GB2312" w:hAnsi="Times New Roman" w:cs="Times New Roman"/>
          <w:szCs w:val="32"/>
          <w:lang w:val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奖惩情况：</w:t>
      </w:r>
      <w:r>
        <w:rPr>
          <w:rFonts w:hint="eastAsia" w:ascii="仿宋_GB2312" w:hAnsi="Times New Roman" w:cs="Times New Roman"/>
          <w:szCs w:val="32"/>
          <w:lang w:val="zh-CN" w:eastAsia="zh-CN"/>
        </w:rPr>
        <w:t>该犯上次评定表扬剩余考核分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44.1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分，本轮考核期202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val="zh-CN"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val="zh-CN" w:eastAsia="zh-CN"/>
        </w:rPr>
        <w:t>月至2025年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val="zh-CN" w:eastAsia="zh-CN"/>
        </w:rPr>
        <w:t>月累计获考核分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2648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分，合计获得考核分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2692.1</w:t>
      </w:r>
      <w:r>
        <w:rPr>
          <w:rFonts w:hint="eastAsia" w:ascii="仿宋_GB2312" w:hAnsi="Times New Roman" w:cs="Times New Roman"/>
          <w:szCs w:val="32"/>
          <w:lang w:val="zh-CN" w:eastAsia="zh-CN"/>
        </w:rPr>
        <w:t>分，表扬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val="zh-CN" w:eastAsia="zh-CN"/>
        </w:rPr>
        <w:t>次；间隔期2023年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val="zh-CN" w:eastAsia="zh-CN"/>
        </w:rPr>
        <w:t>月2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val="zh-CN" w:eastAsia="zh-CN"/>
        </w:rPr>
        <w:t>日至2025年</w:t>
      </w:r>
      <w:r>
        <w:rPr>
          <w:rFonts w:hint="eastAsia" w:ascii="仿宋_GB2312" w:hAnsi="Times New Roman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  <w:lang w:val="zh-CN" w:eastAsia="zh-CN"/>
        </w:rPr>
        <w:t>月，获考核分</w:t>
      </w:r>
      <w:r>
        <w:rPr>
          <w:rFonts w:hint="eastAsia" w:ascii="仿宋_GB2312" w:hAnsi="Times New Roman" w:cs="Times New Roman"/>
          <w:szCs w:val="32"/>
          <w:lang w:val="en-US" w:eastAsia="zh-CN"/>
        </w:rPr>
        <w:t>2197</w:t>
      </w:r>
      <w:r>
        <w:rPr>
          <w:rFonts w:hint="eastAsia" w:ascii="仿宋_GB2312" w:hAnsi="Times New Roman" w:cs="Times New Roman"/>
          <w:szCs w:val="32"/>
          <w:lang w:val="zh-CN" w:eastAsia="zh-CN"/>
        </w:rPr>
        <w:t>分。考核期无违规扣分。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原判财产性判项罚金</w:t>
      </w:r>
      <w:r>
        <w:rPr>
          <w:rFonts w:hint="eastAsia" w:ascii="仿宋_GB2312" w:hAnsi="Times New Roman" w:cs="Times New Roman"/>
          <w:szCs w:val="32"/>
          <w:lang w:val="en-US" w:eastAsia="zh-CN"/>
        </w:rPr>
        <w:t>人民币300000元，已履行人民币4000元；追缴违法所得人民币1073466元,已履行人民币11805.16元，</w:t>
      </w:r>
      <w:r>
        <w:rPr>
          <w:rFonts w:hint="eastAsia" w:ascii="仿宋_GB2312" w:hAnsi="Times New Roman" w:cs="Times New Roman"/>
          <w:szCs w:val="32"/>
          <w:lang w:val="zh-CN"/>
        </w:rPr>
        <w:t>其中本次提请向</w:t>
      </w:r>
      <w:r>
        <w:rPr>
          <w:rFonts w:hint="eastAsia" w:ascii="仿宋_GB2312" w:hAnsi="Times New Roman" w:cs="Times New Roman"/>
          <w:szCs w:val="32"/>
          <w:lang w:val="zh-CN" w:eastAsia="zh-CN"/>
        </w:rPr>
        <w:t>福建省南靖县</w:t>
      </w:r>
      <w:r>
        <w:rPr>
          <w:rFonts w:hint="eastAsia" w:ascii="仿宋_GB2312" w:hAnsi="Times New Roman" w:cs="Times New Roman"/>
          <w:szCs w:val="32"/>
          <w:lang w:val="zh-CN"/>
        </w:rPr>
        <w:t>人民法院缴纳</w:t>
      </w:r>
      <w:r>
        <w:rPr>
          <w:rFonts w:hint="eastAsia" w:ascii="仿宋_GB2312" w:hAnsi="Times New Roman" w:cs="Times New Roman"/>
          <w:szCs w:val="32"/>
          <w:lang w:val="en-US" w:eastAsia="zh-CN"/>
        </w:rPr>
        <w:t>违法所得</w:t>
      </w:r>
      <w:r>
        <w:rPr>
          <w:rFonts w:hint="eastAsia" w:ascii="仿宋_GB2312" w:hAnsi="Times New Roman" w:cs="Times New Roman"/>
          <w:szCs w:val="32"/>
          <w:lang w:val="zh-CN" w:eastAsia="zh-CN"/>
        </w:rPr>
        <w:t>人</w:t>
      </w:r>
      <w:r>
        <w:rPr>
          <w:rFonts w:hint="eastAsia" w:ascii="仿宋_GB2312" w:hAnsi="Times New Roman" w:cs="Times New Roman"/>
          <w:szCs w:val="32"/>
          <w:lang w:val="zh-CN"/>
        </w:rPr>
        <w:t>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2000元</w:t>
      </w:r>
      <w:r>
        <w:rPr>
          <w:rFonts w:hint="eastAsia" w:ascii="仿宋_GB2312" w:hAnsi="Times New Roman" w:cs="Times New Roman"/>
          <w:szCs w:val="32"/>
          <w:lang w:val="zh-CN"/>
        </w:rPr>
        <w:t>。服刑期间财产刑履行比例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  <w:lang w:val="zh-CN"/>
        </w:rPr>
        <w:t>.</w:t>
      </w:r>
      <w:r>
        <w:rPr>
          <w:rFonts w:hint="eastAsia" w:ascii="仿宋_GB2312" w:hAnsi="Times New Roman" w:cs="Times New Roman"/>
          <w:szCs w:val="32"/>
          <w:lang w:val="en-US" w:eastAsia="zh-CN"/>
        </w:rPr>
        <w:t>15</w:t>
      </w:r>
      <w:r>
        <w:rPr>
          <w:rFonts w:hint="eastAsia" w:ascii="仿宋_GB2312" w:hAnsi="Times New Roman" w:cs="Times New Roman"/>
          <w:szCs w:val="32"/>
          <w:lang w:val="zh-CN"/>
        </w:rPr>
        <w:t>%。</w:t>
      </w:r>
      <w:r>
        <w:rPr>
          <w:rFonts w:hint="eastAsia" w:ascii="仿宋_GB2312" w:hAnsi="Times New Roman" w:cs="Times New Roman"/>
          <w:szCs w:val="32"/>
          <w:lang w:val="zh-CN" w:eastAsia="zh-CN"/>
        </w:rPr>
        <w:t>该犯考核期月均消费人民币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278.34</w:t>
      </w:r>
      <w:r>
        <w:rPr>
          <w:rFonts w:hint="eastAsia" w:ascii="仿宋_GB2312" w:hAnsi="Times New Roman" w:cs="Times New Roman"/>
          <w:szCs w:val="32"/>
          <w:lang w:val="zh-CN" w:eastAsia="zh-CN"/>
        </w:rPr>
        <w:t>元（注：不包括购买药品、报刊书籍等费用），账户可用余额人民币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347.86</w:t>
      </w:r>
      <w:r>
        <w:rPr>
          <w:rFonts w:hint="eastAsia" w:ascii="仿宋_GB2312" w:hAnsi="Times New Roman" w:cs="Times New Roman"/>
          <w:szCs w:val="32"/>
          <w:lang w:val="zh-CN" w:eastAsia="zh-CN"/>
        </w:rPr>
        <w:t>元。</w:t>
      </w:r>
      <w:r>
        <w:rPr>
          <w:rFonts w:hint="eastAsia" w:ascii="仿宋_GB2312" w:hAnsi="Times New Roman" w:cs="Times New Roman"/>
          <w:szCs w:val="32"/>
          <w:lang w:val="zh-CN"/>
        </w:rPr>
        <w:t>202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  <w:lang w:val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  <w:lang w:val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  <w:lang w:val="zh-CN"/>
        </w:rPr>
        <w:t>日福建省</w:t>
      </w:r>
      <w:r>
        <w:rPr>
          <w:rFonts w:hint="eastAsia" w:ascii="仿宋_GB2312" w:hAnsi="Times New Roman" w:cs="Times New Roman"/>
          <w:szCs w:val="32"/>
          <w:lang w:val="zh-CN" w:eastAsia="zh-CN"/>
        </w:rPr>
        <w:t>南靖县</w:t>
      </w:r>
      <w:r>
        <w:rPr>
          <w:rFonts w:hint="eastAsia" w:ascii="仿宋_GB2312" w:hAnsi="Times New Roman" w:cs="Times New Roman"/>
          <w:szCs w:val="32"/>
          <w:lang w:val="zh-CN"/>
        </w:rPr>
        <w:t>人民法院财产性判项复函载明：</w:t>
      </w:r>
      <w:r>
        <w:rPr>
          <w:rFonts w:hint="eastAsia" w:ascii="仿宋_GB2312" w:hAnsi="Times New Roman" w:cs="Times New Roman"/>
          <w:szCs w:val="32"/>
          <w:lang w:val="zh-CN" w:eastAsia="zh-CN"/>
        </w:rPr>
        <w:t>被执行人陈伏坤目前尚无可供执行财产。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highlight w:val="yellow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该犯财产性判项义务履行金额未达到其个人应履行总</w:t>
      </w:r>
      <w:r>
        <w:rPr>
          <w:rFonts w:hint="eastAsia" w:ascii="仿宋_GB2312"/>
          <w:szCs w:val="32"/>
        </w:rPr>
        <w:t>额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个月。</w:t>
      </w:r>
    </w:p>
    <w:p>
      <w:pPr>
        <w:pStyle w:val="12"/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2025年6月20日至2025年6月26日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陈伏坤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highlight w:val="none"/>
          <w:lang w:eastAsia="zh-CN"/>
        </w:rPr>
        <w:t>四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陈伏坤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2025年6月30日</w:t>
      </w: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27D12FB"/>
    <w:rsid w:val="068233F5"/>
    <w:rsid w:val="07AF789A"/>
    <w:rsid w:val="07B61CB8"/>
    <w:rsid w:val="081648E2"/>
    <w:rsid w:val="09227170"/>
    <w:rsid w:val="09846D7B"/>
    <w:rsid w:val="0988463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EBB2587"/>
    <w:rsid w:val="0F137CB5"/>
    <w:rsid w:val="0F2F70D8"/>
    <w:rsid w:val="12165BEC"/>
    <w:rsid w:val="123256F8"/>
    <w:rsid w:val="12D37334"/>
    <w:rsid w:val="12FD5513"/>
    <w:rsid w:val="13266B46"/>
    <w:rsid w:val="152B74B3"/>
    <w:rsid w:val="15575BDF"/>
    <w:rsid w:val="16695B42"/>
    <w:rsid w:val="1672618E"/>
    <w:rsid w:val="16B164BB"/>
    <w:rsid w:val="17ED039F"/>
    <w:rsid w:val="18672CAA"/>
    <w:rsid w:val="1A3A0366"/>
    <w:rsid w:val="1A797B98"/>
    <w:rsid w:val="1AF55846"/>
    <w:rsid w:val="1C9B58CA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A4C1B03"/>
    <w:rsid w:val="2B357104"/>
    <w:rsid w:val="2BFD2379"/>
    <w:rsid w:val="2C7845C8"/>
    <w:rsid w:val="2D5B3696"/>
    <w:rsid w:val="30457B04"/>
    <w:rsid w:val="32BB6DE3"/>
    <w:rsid w:val="32D61DF0"/>
    <w:rsid w:val="33CD760B"/>
    <w:rsid w:val="36653D31"/>
    <w:rsid w:val="36986D96"/>
    <w:rsid w:val="36FD1DA2"/>
    <w:rsid w:val="373C6C4A"/>
    <w:rsid w:val="39545F92"/>
    <w:rsid w:val="3AC91AAC"/>
    <w:rsid w:val="41CA4538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E3E7711"/>
    <w:rsid w:val="4FDA015F"/>
    <w:rsid w:val="50DC6110"/>
    <w:rsid w:val="533D0693"/>
    <w:rsid w:val="53CE61E4"/>
    <w:rsid w:val="53EC7365"/>
    <w:rsid w:val="54D5686F"/>
    <w:rsid w:val="5C7D3B00"/>
    <w:rsid w:val="5D2B27E7"/>
    <w:rsid w:val="5EFD0E28"/>
    <w:rsid w:val="5FB32327"/>
    <w:rsid w:val="61112F2C"/>
    <w:rsid w:val="61312E06"/>
    <w:rsid w:val="62B42226"/>
    <w:rsid w:val="6385269A"/>
    <w:rsid w:val="63997AC2"/>
    <w:rsid w:val="64061DAE"/>
    <w:rsid w:val="64F2539B"/>
    <w:rsid w:val="66D62CFA"/>
    <w:rsid w:val="699F760C"/>
    <w:rsid w:val="6A243776"/>
    <w:rsid w:val="6AD8655A"/>
    <w:rsid w:val="6E5724CC"/>
    <w:rsid w:val="6FA16DDA"/>
    <w:rsid w:val="71277157"/>
    <w:rsid w:val="71743704"/>
    <w:rsid w:val="73991756"/>
    <w:rsid w:val="73AB002E"/>
    <w:rsid w:val="74365D38"/>
    <w:rsid w:val="77564B75"/>
    <w:rsid w:val="77DB2E65"/>
    <w:rsid w:val="7A073131"/>
    <w:rsid w:val="7B711D81"/>
    <w:rsid w:val="7D2C5FF4"/>
    <w:rsid w:val="7D5B4A45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0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2025-02-28T07:08:00Z</cp:lastPrinted>
  <dcterms:modified xsi:type="dcterms:W3CDTF">2025-06-24T10:47:10Z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