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</w:t>
      </w:r>
      <w:r>
        <w:rPr>
          <w:rFonts w:hint="eastAsia" w:ascii="KaiTi_GB2312" w:eastAsia="KaiTi_GB2312" w:cs="KaiTi_GB2312"/>
          <w:sz w:val="32"/>
          <w:szCs w:val="32"/>
          <w:lang w:val="en-US" w:eastAsia="zh-CN"/>
        </w:rPr>
        <w:t>307</w:t>
      </w:r>
      <w:r>
        <w:rPr>
          <w:rFonts w:hint="eastAsia" w:ascii="KaiTi_GB2312" w:eastAsia="KaiTi_GB2312" w:cs="KaiTi_GB2312"/>
          <w:sz w:val="32"/>
          <w:szCs w:val="32"/>
        </w:rPr>
        <w:t>号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罪犯陈振南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，男，1988年7月2日出生，汉族，小学文化，住福建省晋江市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，捕前系农民。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福建省泉州市中级人民法院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于2016年5月16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日作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出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(2016)闽05刑初21号刑事附带民事判决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，以被告人陈振南犯故意伤害罪，判处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无期徒刑,剥夺政治权利终身,赔偿附带民事诉讼原告人经济损失人民币437189.07元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宣判后,该犯不服,提出上诉。福建省高级人民法院于2016年8月25日作出（2016）闽刑终247号刑事附带民事裁定，驳回上诉，维持原判。2016年9月22日交付福建省漳州监狱执行刑罚。2019年3月18日，福建省高级人民法院以（2019）闽刑更45号刑事裁定书，对其减为有期徒刑二十二年，剥夺政治权利改为十年，刑期自2019年3月18日起至2041年3月17日止；2022年7月19日，福建省漳州市中级人民法院以（2022）闽06刑更416号刑事裁定书，对其减刑六个月，剥夺政治权利十年不变，现刑期至2040年9月17日止, 2022年7月25日送达。属普管级罪犯。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考核分306.5分，本轮考核期2022年4月至2025年3月累计获考核分3774.5分，合计获得考核分4081分，表扬4次，物质奖励2次；间隔期2022年7月25日至2025年3月，获考核分3349.5分。考核期内违规2次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eastAsia="zh-CN"/>
        </w:rPr>
        <w:t>，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累计</w:t>
      </w:r>
      <w:r>
        <w:rPr>
          <w:rFonts w:ascii="FangSong_GB2312" w:hAnsi="Times New Roman" w:eastAsia="FangSong_GB2312"/>
          <w:kern w:val="32"/>
          <w:sz w:val="32"/>
          <w:szCs w:val="32"/>
        </w:rPr>
        <w:t>扣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考核分28</w:t>
      </w:r>
      <w:r>
        <w:rPr>
          <w:rFonts w:ascii="FangSong_GB2312" w:hAnsi="Times New Roman" w:eastAsia="FangSong_GB2312"/>
          <w:kern w:val="32"/>
          <w:sz w:val="32"/>
          <w:szCs w:val="32"/>
        </w:rPr>
        <w:t>分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eastAsia="zh-CN"/>
        </w:rPr>
        <w:t>（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重大违规1次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eastAsia="zh-CN"/>
        </w:rPr>
        <w:t>：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2023年3月4日罪犯姜建旺因生产琐事与罪犯陈振南发生争吵,姜犯打其后,其动手还击,扣25分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eastAsia="zh-CN"/>
        </w:rPr>
        <w:t>）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赔偿附带民事诉讼原告人经济损失人民币437189.07元。已履行人民币3000元，其中本次提请向福建省泉州市中级人民法院履行人民币1000元，服刑期间履行比例0.6%。该犯考核期月均消费人民币270.27元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（注：不包括购买药品、报刊书籍等费用）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，账户可用余额人民币707.79元。福建省泉州市中级人民法院于2025年3月31日复函载明：经法院查控系统核实没有可供执行财产。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hint="eastAsia" w:ascii="FangSong_GB2312" w:cs="FangSong_GB2312"/>
          <w:kern w:val="0"/>
          <w:szCs w:val="32"/>
        </w:rPr>
      </w:pPr>
      <w:r>
        <w:rPr>
          <w:rFonts w:hint="eastAsia" w:ascii="FangSong_GB2312"/>
          <w:szCs w:val="32"/>
        </w:rPr>
        <w:t>该犯财产性判项义务履行金额未达到其个人应履行总额30%，因此提请减刑幅度扣减三个月。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本案于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2025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年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月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日至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2025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年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月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日在狱内公示未收到不同意见。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因此，依照《中华人民共和国刑法》第七十八条、第七十九条，《中华人民共和国刑事诉讼法》第二百七十三条第二款、《中华人民共和国监狱法》第二十九条的规定，建议对罪犯陈振南予以减刑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四个月，剥夺政治权利十年不变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。特提请你院审理裁定。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陈振南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760" w:firstLineChars="18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0897"/>
    <w:rsid w:val="00620897"/>
    <w:rsid w:val="4586535F"/>
    <w:rsid w:val="7A2D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197</Words>
  <Characters>1127</Characters>
  <Lines>9</Lines>
  <Paragraphs>2</Paragraphs>
  <TotalTime>3</TotalTime>
  <ScaleCrop>false</ScaleCrop>
  <LinksUpToDate>false</LinksUpToDate>
  <CharactersWithSpaces>1322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2025-06-23T00:52:00Z</dcterms:created>
  <dc:creator>PC</dc:creator>
  <cp:lastModifiedBy>叶志胜</cp:lastModifiedBy>
  <dcterms:modified xsi:type="dcterms:W3CDTF">2025-06-24T10:50:36Z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713DBA9EAE704FD2ACB8456D3D2822CA</vt:lpwstr>
  </property>
</Properties>
</file>