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</w:t>
      </w:r>
      <w:r>
        <w:rPr>
          <w:rFonts w:hint="eastAsia" w:ascii="KaiTi_GB2312" w:eastAsia="KaiTi_GB2312" w:cs="KaiTi_GB2312"/>
          <w:sz w:val="32"/>
          <w:szCs w:val="32"/>
          <w:lang w:val="en-US" w:eastAsia="zh-CN"/>
        </w:rPr>
        <w:t>309</w:t>
      </w:r>
      <w:r>
        <w:rPr>
          <w:rFonts w:hint="eastAsia" w:ascii="KaiTi_GB2312" w:eastAsia="KaiTi_GB2312" w:cs="KaiTi_GB2312"/>
          <w:sz w:val="3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罪犯黄清波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，男，1986年10月5日出生，汉族，初中文化，户籍地福建省永春县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，捕前系务工。曾因犯开设赌场罪于2019年4月1日被重庆市九龙坡区人民法院判处有期徒刑四年，于2022年9月8日刑满释放,系有前科。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安溪县人民法院于2023年10月13日作出（2023）闽0524刑初1053号刑事判决，以被告人黄清波犯交通肇事罪，判处有期徒刑二年四个月。刑期自2023年6月26日起至2025年10月25日止。2023年12月11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奖惩情况：该犯考核期2023年12月11日至2025年3月累计获考核分1362.5分,获表扬2次。考核期内无违规扣分。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20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日至2025年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26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黄清波予以减刑三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80C"/>
    <w:rsid w:val="00B1680C"/>
    <w:rsid w:val="05CB1421"/>
    <w:rsid w:val="400E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105</Words>
  <Characters>603</Characters>
  <Lines>5</Lines>
  <Paragraphs>1</Paragraphs>
  <TotalTime>1</TotalTime>
  <ScaleCrop>false</ScaleCrop>
  <LinksUpToDate>false</LinksUpToDate>
  <CharactersWithSpaces>707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2025-06-23T00:55:00Z</dcterms:created>
  <dc:creator>PC</dc:creator>
  <cp:lastModifiedBy>叶志胜</cp:lastModifiedBy>
  <dcterms:modified xsi:type="dcterms:W3CDTF">2025-06-24T10:54:02Z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D83AA2E56D9349B2972B6ABB5D3C730E</vt:lpwstr>
  </property>
</Properties>
</file>