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30"/>
          <w:szCs w:val="30"/>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wordWrap w:val="0"/>
        <w:jc w:val="right"/>
        <w:rPr>
          <w:rFonts w:hint="eastAsia" w:ascii="仿宋_GB2312" w:hAnsi="仿宋_GB2312" w:eastAsia="仿宋_GB2312" w:cs="仿宋_GB2312"/>
          <w:szCs w:val="32"/>
        </w:rPr>
      </w:pPr>
      <w:r>
        <w:rPr>
          <w:rFonts w:hint="eastAsia" w:ascii="楷体_GB2312" w:hAnsi="楷体_GB2312" w:eastAsia="楷体_GB2312" w:cs="楷体_GB2312"/>
          <w:szCs w:val="32"/>
        </w:rPr>
        <w:t>〔202</w:t>
      </w:r>
      <w:r>
        <w:rPr>
          <w:rFonts w:hint="eastAsia" w:ascii="楷体_GB2312" w:hAnsi="楷体_GB2312" w:eastAsia="楷体_GB2312" w:cs="楷体_GB2312"/>
          <w:szCs w:val="32"/>
          <w:lang w:val="en-US" w:eastAsia="zh-CN"/>
        </w:rPr>
        <w:t>5</w:t>
      </w:r>
      <w:r>
        <w:rPr>
          <w:rFonts w:hint="eastAsia" w:ascii="楷体_GB2312" w:hAnsi="楷体_GB2312" w:eastAsia="楷体_GB2312" w:cs="楷体_GB2312"/>
          <w:szCs w:val="32"/>
        </w:rPr>
        <w:t>〕闽漳狱减字第</w:t>
      </w:r>
      <w:r>
        <w:rPr>
          <w:rFonts w:hint="eastAsia" w:ascii="楷体_GB2312" w:hAnsi="楷体_GB2312" w:eastAsia="楷体_GB2312" w:cs="楷体_GB2312"/>
          <w:szCs w:val="32"/>
          <w:lang w:val="en-US" w:eastAsia="zh-CN"/>
        </w:rPr>
        <w:t>4024</w:t>
      </w:r>
      <w:r>
        <w:rPr>
          <w:rFonts w:hint="eastAsia" w:ascii="楷体_GB2312" w:hAnsi="楷体_GB2312" w:eastAsia="楷体_GB2312" w:cs="楷体_GB2312"/>
          <w:szCs w:val="32"/>
        </w:rPr>
        <w:t>号</w:t>
      </w:r>
    </w:p>
    <w:p>
      <w:pPr>
        <w:spacing w:line="480" w:lineRule="exact"/>
        <w:ind w:firstLine="707" w:firstLineChars="221"/>
        <w:rPr>
          <w:rFonts w:hint="eastAsia" w:ascii="仿宋_GB2312" w:hAnsi="Times New Roman" w:eastAsia="仿宋_GB2312" w:cs="楷体_GB2312"/>
          <w:color w:val="auto"/>
          <w:sz w:val="32"/>
          <w:szCs w:val="32"/>
          <w:u w:val="none"/>
          <w:lang w:val="en-US" w:eastAsia="zh-CN"/>
        </w:rPr>
      </w:pPr>
      <w:r>
        <w:rPr>
          <w:rFonts w:ascii="仿宋_GB2312" w:hAnsi="Times New Roman" w:eastAsia="仿宋_GB2312" w:cs="楷体_GB2312"/>
          <w:color w:val="auto"/>
          <w:sz w:val="32"/>
          <w:szCs w:val="32"/>
          <w:u w:val="none"/>
        </w:rPr>
        <w:t>罪犯</w:t>
      </w:r>
      <w:r>
        <w:rPr>
          <w:rFonts w:hint="eastAsia" w:ascii="仿宋_GB2312" w:hAnsi="Times New Roman" w:eastAsia="仿宋_GB2312" w:cs="楷体_GB2312"/>
          <w:color w:val="auto"/>
          <w:sz w:val="32"/>
          <w:szCs w:val="32"/>
          <w:u w:val="none"/>
          <w:lang w:eastAsia="zh-CN"/>
        </w:rPr>
        <w:t>梁家春</w:t>
      </w:r>
      <w:r>
        <w:rPr>
          <w:rFonts w:ascii="仿宋_GB2312" w:hAnsi="Times New Roman" w:eastAsia="仿宋_GB2312" w:cs="楷体_GB2312"/>
          <w:color w:val="auto"/>
          <w:sz w:val="32"/>
          <w:szCs w:val="32"/>
          <w:u w:val="none"/>
        </w:rPr>
        <w:t>，</w:t>
      </w:r>
      <w:r>
        <w:rPr>
          <w:rFonts w:hint="eastAsia" w:ascii="仿宋_GB2312" w:hAnsi="Times New Roman" w:eastAsia="仿宋_GB2312" w:cs="楷体_GB2312"/>
          <w:color w:val="auto"/>
          <w:sz w:val="32"/>
          <w:szCs w:val="32"/>
          <w:u w:val="none"/>
        </w:rPr>
        <w:t>男，</w:t>
      </w:r>
      <w:r>
        <w:rPr>
          <w:rFonts w:hint="eastAsia" w:ascii="仿宋_GB2312" w:hAnsi="Times New Roman" w:eastAsia="仿宋_GB2312" w:cs="楷体_GB2312"/>
          <w:color w:val="auto"/>
          <w:sz w:val="32"/>
          <w:szCs w:val="32"/>
          <w:u w:val="none"/>
          <w:lang w:val="en-US" w:eastAsia="zh-CN"/>
        </w:rPr>
        <w:t>1977</w:t>
      </w:r>
      <w:r>
        <w:rPr>
          <w:rFonts w:hint="eastAsia" w:ascii="仿宋_GB2312" w:hAnsi="Times New Roman" w:eastAsia="仿宋_GB2312" w:cs="楷体_GB2312"/>
          <w:color w:val="auto"/>
          <w:sz w:val="32"/>
          <w:szCs w:val="32"/>
          <w:u w:val="none"/>
        </w:rPr>
        <w:t>年</w:t>
      </w:r>
      <w:r>
        <w:rPr>
          <w:rFonts w:hint="eastAsia" w:ascii="仿宋_GB2312" w:hAnsi="Times New Roman" w:eastAsia="仿宋_GB2312" w:cs="楷体_GB2312"/>
          <w:color w:val="auto"/>
          <w:sz w:val="32"/>
          <w:szCs w:val="32"/>
          <w:u w:val="none"/>
          <w:lang w:val="en-US" w:eastAsia="zh-CN"/>
        </w:rPr>
        <w:t>1</w:t>
      </w:r>
      <w:r>
        <w:rPr>
          <w:rFonts w:hint="eastAsia" w:ascii="仿宋_GB2312" w:hAnsi="Times New Roman" w:eastAsia="仿宋_GB2312" w:cs="楷体_GB2312"/>
          <w:color w:val="auto"/>
          <w:sz w:val="32"/>
          <w:szCs w:val="32"/>
          <w:u w:val="none"/>
        </w:rPr>
        <w:t>月</w:t>
      </w:r>
      <w:r>
        <w:rPr>
          <w:rFonts w:hint="eastAsia" w:ascii="仿宋_GB2312" w:hAnsi="Times New Roman" w:eastAsia="仿宋_GB2312" w:cs="楷体_GB2312"/>
          <w:color w:val="auto"/>
          <w:sz w:val="32"/>
          <w:szCs w:val="32"/>
          <w:u w:val="none"/>
          <w:lang w:val="en-US" w:eastAsia="zh-CN"/>
        </w:rPr>
        <w:t>14</w:t>
      </w:r>
      <w:r>
        <w:rPr>
          <w:rFonts w:hint="eastAsia" w:ascii="仿宋_GB2312" w:hAnsi="Times New Roman" w:eastAsia="仿宋_GB2312" w:cs="楷体_GB2312"/>
          <w:color w:val="auto"/>
          <w:sz w:val="32"/>
          <w:szCs w:val="32"/>
          <w:u w:val="none"/>
        </w:rPr>
        <w:t>日出生，</w:t>
      </w:r>
      <w:r>
        <w:rPr>
          <w:rFonts w:hint="eastAsia" w:ascii="仿宋_GB2312" w:hAnsi="Times New Roman" w:eastAsia="仿宋_GB2312" w:cs="楷体_GB2312"/>
          <w:color w:val="auto"/>
          <w:sz w:val="32"/>
          <w:szCs w:val="32"/>
          <w:u w:val="none"/>
          <w:lang w:eastAsia="zh-CN"/>
        </w:rPr>
        <w:t>壮</w:t>
      </w:r>
      <w:r>
        <w:rPr>
          <w:rFonts w:ascii="仿宋_GB2312" w:hAnsi="Times New Roman" w:eastAsia="仿宋_GB2312" w:cs="楷体_GB2312"/>
          <w:color w:val="auto"/>
          <w:sz w:val="32"/>
          <w:szCs w:val="32"/>
          <w:u w:val="none"/>
        </w:rPr>
        <w:t>族,</w:t>
      </w:r>
      <w:r>
        <w:rPr>
          <w:rFonts w:hint="eastAsia" w:ascii="仿宋_GB2312" w:hAnsi="Times New Roman" w:eastAsia="仿宋_GB2312" w:cs="楷体_GB2312"/>
          <w:color w:val="auto"/>
          <w:sz w:val="32"/>
          <w:szCs w:val="32"/>
          <w:u w:val="none"/>
          <w:lang w:val="en-US" w:eastAsia="zh-CN"/>
        </w:rPr>
        <w:t>小学</w:t>
      </w:r>
      <w:r>
        <w:rPr>
          <w:rFonts w:hint="eastAsia" w:ascii="仿宋_GB2312" w:hAnsi="Times New Roman" w:eastAsia="仿宋_GB2312" w:cs="楷体_GB2312"/>
          <w:color w:val="auto"/>
          <w:sz w:val="32"/>
          <w:szCs w:val="32"/>
          <w:u w:val="none"/>
        </w:rPr>
        <w:t>文化，户籍所在</w:t>
      </w:r>
      <w:r>
        <w:rPr>
          <w:rFonts w:hint="eastAsia" w:ascii="仿宋_GB2312" w:hAnsi="Times New Roman" w:eastAsia="仿宋_GB2312" w:cs="楷体_GB2312"/>
          <w:color w:val="auto"/>
          <w:sz w:val="32"/>
          <w:szCs w:val="32"/>
          <w:u w:val="none"/>
          <w:lang w:eastAsia="zh-CN"/>
        </w:rPr>
        <w:t>地</w:t>
      </w:r>
      <w:r>
        <w:rPr>
          <w:rFonts w:hint="eastAsia" w:ascii="仿宋_GB2312" w:hAnsi="Times New Roman" w:eastAsia="仿宋_GB2312" w:cs="楷体_GB2312"/>
          <w:color w:val="auto"/>
          <w:sz w:val="32"/>
          <w:szCs w:val="32"/>
          <w:u w:val="none"/>
        </w:rPr>
        <w:t>广西</w:t>
      </w:r>
      <w:r>
        <w:rPr>
          <w:rFonts w:hint="eastAsia" w:ascii="仿宋_GB2312" w:hAnsi="Times New Roman" w:eastAsia="仿宋_GB2312" w:cs="楷体_GB2312"/>
          <w:color w:val="auto"/>
          <w:sz w:val="32"/>
          <w:szCs w:val="32"/>
          <w:u w:val="none"/>
          <w:lang w:val="en-US" w:eastAsia="zh-CN"/>
        </w:rPr>
        <w:t>壮族自治区南宁市</w:t>
      </w:r>
      <w:r>
        <w:rPr>
          <w:rFonts w:hint="eastAsia" w:ascii="仿宋_GB2312" w:hAnsi="Times New Roman" w:eastAsia="仿宋_GB2312" w:cs="楷体_GB2312"/>
          <w:color w:val="auto"/>
          <w:sz w:val="32"/>
          <w:szCs w:val="32"/>
          <w:u w:val="none"/>
        </w:rPr>
        <w:t>隆安县</w:t>
      </w:r>
      <w:bookmarkStart w:id="0" w:name="_GoBack"/>
      <w:bookmarkEnd w:id="0"/>
      <w:r>
        <w:rPr>
          <w:rFonts w:ascii="仿宋_GB2312" w:hAnsi="Times New Roman" w:eastAsia="仿宋_GB2312" w:cs="楷体_GB2312"/>
          <w:color w:val="auto"/>
          <w:sz w:val="32"/>
          <w:szCs w:val="32"/>
          <w:u w:val="none"/>
        </w:rPr>
        <w:t>，</w:t>
      </w:r>
      <w:r>
        <w:rPr>
          <w:rFonts w:hint="eastAsia" w:ascii="仿宋_GB2312" w:hAnsi="Times New Roman" w:eastAsia="仿宋_GB2312" w:cs="楷体_GB2312"/>
          <w:color w:val="auto"/>
          <w:sz w:val="32"/>
          <w:szCs w:val="32"/>
          <w:u w:val="none"/>
        </w:rPr>
        <w:t>捕前</w:t>
      </w:r>
      <w:r>
        <w:rPr>
          <w:rFonts w:hint="eastAsia" w:ascii="仿宋_GB2312" w:hAnsi="Times New Roman" w:eastAsia="仿宋_GB2312" w:cs="楷体_GB2312"/>
          <w:color w:val="auto"/>
          <w:sz w:val="32"/>
          <w:szCs w:val="32"/>
          <w:u w:val="none"/>
          <w:lang w:val="en-US" w:eastAsia="zh-CN"/>
        </w:rPr>
        <w:t>系无业</w:t>
      </w:r>
      <w:r>
        <w:rPr>
          <w:rFonts w:hint="eastAsia" w:ascii="仿宋_GB2312" w:hAnsi="Times New Roman" w:eastAsia="仿宋_GB2312" w:cs="楷体_GB2312"/>
          <w:color w:val="auto"/>
          <w:sz w:val="32"/>
          <w:szCs w:val="32"/>
          <w:u w:val="none"/>
        </w:rPr>
        <w:t>。</w:t>
      </w:r>
    </w:p>
    <w:p>
      <w:pPr>
        <w:spacing w:line="480" w:lineRule="exact"/>
        <w:ind w:firstLine="707" w:firstLineChars="221"/>
        <w:rPr>
          <w:rFonts w:ascii="仿宋_GB2312" w:hAnsi="Times New Roman" w:eastAsia="仿宋_GB2312" w:cs="楷体_GB2312"/>
          <w:color w:val="auto"/>
          <w:sz w:val="32"/>
          <w:szCs w:val="32"/>
          <w:u w:val="none"/>
        </w:rPr>
      </w:pPr>
      <w:r>
        <w:rPr>
          <w:rFonts w:hint="eastAsia" w:ascii="仿宋_GB2312" w:hAnsi="Times New Roman" w:eastAsia="仿宋_GB2312" w:cs="楷体_GB2312"/>
          <w:color w:val="auto"/>
          <w:sz w:val="32"/>
          <w:szCs w:val="32"/>
          <w:u w:val="none"/>
        </w:rPr>
        <w:t>福建省</w:t>
      </w:r>
      <w:r>
        <w:rPr>
          <w:rFonts w:hint="eastAsia" w:ascii="仿宋_GB2312" w:hAnsi="Times New Roman" w:eastAsia="仿宋_GB2312" w:cs="楷体_GB2312"/>
          <w:color w:val="auto"/>
          <w:sz w:val="32"/>
          <w:szCs w:val="32"/>
          <w:u w:val="none"/>
          <w:lang w:eastAsia="zh-CN"/>
        </w:rPr>
        <w:t>厦门</w:t>
      </w:r>
      <w:r>
        <w:rPr>
          <w:rFonts w:hint="eastAsia" w:ascii="仿宋_GB2312" w:hAnsi="Times New Roman" w:eastAsia="仿宋_GB2312" w:cs="楷体_GB2312"/>
          <w:color w:val="auto"/>
          <w:sz w:val="32"/>
          <w:szCs w:val="32"/>
          <w:u w:val="none"/>
        </w:rPr>
        <w:t>市</w:t>
      </w:r>
      <w:r>
        <w:rPr>
          <w:rFonts w:hint="eastAsia" w:ascii="仿宋_GB2312" w:hAnsi="Times New Roman" w:eastAsia="仿宋_GB2312" w:cs="楷体_GB2312"/>
          <w:color w:val="auto"/>
          <w:sz w:val="32"/>
          <w:szCs w:val="32"/>
          <w:u w:val="none"/>
          <w:lang w:eastAsia="zh-CN"/>
        </w:rPr>
        <w:t>中级</w:t>
      </w:r>
      <w:r>
        <w:rPr>
          <w:rFonts w:hint="eastAsia" w:ascii="仿宋_GB2312" w:hAnsi="Times New Roman" w:eastAsia="仿宋_GB2312" w:cs="楷体_GB2312"/>
          <w:color w:val="auto"/>
          <w:sz w:val="32"/>
          <w:szCs w:val="32"/>
          <w:u w:val="none"/>
        </w:rPr>
        <w:t>人民法院于</w:t>
      </w:r>
      <w:r>
        <w:rPr>
          <w:rFonts w:hint="eastAsia" w:ascii="仿宋_GB2312" w:hAnsi="Times New Roman" w:eastAsia="仿宋_GB2312" w:cs="楷体_GB2312"/>
          <w:color w:val="auto"/>
          <w:sz w:val="32"/>
          <w:szCs w:val="32"/>
          <w:u w:val="none"/>
          <w:lang w:val="en-US" w:eastAsia="zh-CN"/>
        </w:rPr>
        <w:t>2020</w:t>
      </w:r>
      <w:r>
        <w:rPr>
          <w:rFonts w:hint="eastAsia" w:ascii="仿宋_GB2312" w:hAnsi="Times New Roman" w:eastAsia="仿宋_GB2312" w:cs="楷体_GB2312"/>
          <w:color w:val="auto"/>
          <w:sz w:val="32"/>
          <w:szCs w:val="32"/>
          <w:u w:val="none"/>
        </w:rPr>
        <w:t>年</w:t>
      </w:r>
      <w:r>
        <w:rPr>
          <w:rFonts w:hint="eastAsia" w:ascii="仿宋_GB2312" w:hAnsi="Times New Roman" w:eastAsia="仿宋_GB2312" w:cs="楷体_GB2312"/>
          <w:color w:val="auto"/>
          <w:sz w:val="32"/>
          <w:szCs w:val="32"/>
          <w:u w:val="none"/>
          <w:lang w:val="en-US" w:eastAsia="zh-CN"/>
        </w:rPr>
        <w:t>6</w:t>
      </w:r>
      <w:r>
        <w:rPr>
          <w:rFonts w:hint="eastAsia" w:ascii="仿宋_GB2312" w:hAnsi="Times New Roman" w:eastAsia="仿宋_GB2312" w:cs="楷体_GB2312"/>
          <w:color w:val="auto"/>
          <w:sz w:val="32"/>
          <w:szCs w:val="32"/>
          <w:u w:val="none"/>
        </w:rPr>
        <w:t>月</w:t>
      </w:r>
      <w:r>
        <w:rPr>
          <w:rFonts w:hint="eastAsia" w:ascii="仿宋_GB2312" w:hAnsi="Times New Roman" w:eastAsia="仿宋_GB2312" w:cs="楷体_GB2312"/>
          <w:color w:val="auto"/>
          <w:sz w:val="32"/>
          <w:szCs w:val="32"/>
          <w:u w:val="none"/>
          <w:lang w:val="en-US" w:eastAsia="zh-CN"/>
        </w:rPr>
        <w:t>19</w:t>
      </w:r>
      <w:r>
        <w:rPr>
          <w:rFonts w:hint="eastAsia" w:ascii="仿宋_GB2312" w:hAnsi="Times New Roman" w:eastAsia="仿宋_GB2312" w:cs="楷体_GB2312"/>
          <w:color w:val="auto"/>
          <w:sz w:val="32"/>
          <w:szCs w:val="32"/>
          <w:u w:val="none"/>
        </w:rPr>
        <w:t>日作出(</w:t>
      </w:r>
      <w:r>
        <w:rPr>
          <w:rFonts w:hint="eastAsia" w:ascii="仿宋_GB2312" w:hAnsi="Times New Roman" w:eastAsia="仿宋_GB2312" w:cs="楷体_GB2312"/>
          <w:color w:val="auto"/>
          <w:sz w:val="32"/>
          <w:szCs w:val="32"/>
          <w:u w:val="none"/>
          <w:lang w:val="en-US" w:eastAsia="zh-CN"/>
        </w:rPr>
        <w:t>2019</w:t>
      </w:r>
      <w:r>
        <w:rPr>
          <w:rFonts w:hint="eastAsia" w:ascii="仿宋_GB2312" w:hAnsi="Times New Roman" w:eastAsia="仿宋_GB2312" w:cs="楷体_GB2312"/>
          <w:color w:val="auto"/>
          <w:sz w:val="32"/>
          <w:szCs w:val="32"/>
          <w:u w:val="none"/>
        </w:rPr>
        <w:t>)</w:t>
      </w:r>
      <w:r>
        <w:rPr>
          <w:rFonts w:hint="eastAsia" w:ascii="仿宋_GB2312" w:hAnsi="Times New Roman" w:eastAsia="仿宋_GB2312" w:cs="楷体_GB2312"/>
          <w:color w:val="auto"/>
          <w:sz w:val="32"/>
          <w:szCs w:val="32"/>
          <w:u w:val="none"/>
          <w:lang w:eastAsia="zh-CN"/>
        </w:rPr>
        <w:t>闽</w:t>
      </w:r>
      <w:r>
        <w:rPr>
          <w:rFonts w:hint="eastAsia" w:ascii="仿宋_GB2312" w:hAnsi="Times New Roman" w:eastAsia="仿宋_GB2312" w:cs="楷体_GB2312"/>
          <w:color w:val="auto"/>
          <w:sz w:val="32"/>
          <w:szCs w:val="32"/>
          <w:u w:val="none"/>
          <w:lang w:val="en-US" w:eastAsia="zh-CN"/>
        </w:rPr>
        <w:t>02</w:t>
      </w:r>
      <w:r>
        <w:rPr>
          <w:rFonts w:hint="eastAsia" w:ascii="仿宋_GB2312" w:hAnsi="Times New Roman" w:eastAsia="仿宋_GB2312" w:cs="楷体_GB2312"/>
          <w:color w:val="auto"/>
          <w:sz w:val="32"/>
          <w:szCs w:val="32"/>
          <w:u w:val="none"/>
          <w:lang w:eastAsia="zh-CN"/>
        </w:rPr>
        <w:t>刑初</w:t>
      </w:r>
      <w:r>
        <w:rPr>
          <w:rFonts w:hint="eastAsia" w:ascii="仿宋_GB2312" w:hAnsi="Times New Roman" w:eastAsia="仿宋_GB2312" w:cs="楷体_GB2312"/>
          <w:color w:val="auto"/>
          <w:sz w:val="32"/>
          <w:szCs w:val="32"/>
          <w:u w:val="none"/>
          <w:lang w:val="en-US" w:eastAsia="zh-CN"/>
        </w:rPr>
        <w:t>76号</w:t>
      </w:r>
      <w:r>
        <w:rPr>
          <w:rFonts w:hint="eastAsia" w:ascii="仿宋_GB2312" w:hAnsi="Times New Roman" w:eastAsia="仿宋_GB2312" w:cs="楷体_GB2312"/>
          <w:color w:val="auto"/>
          <w:sz w:val="32"/>
          <w:szCs w:val="32"/>
          <w:u w:val="none"/>
        </w:rPr>
        <w:t>刑事判决，以被告人</w:t>
      </w:r>
      <w:r>
        <w:rPr>
          <w:rFonts w:hint="eastAsia" w:ascii="仿宋_GB2312" w:hAnsi="Times New Roman" w:eastAsia="仿宋_GB2312" w:cs="楷体_GB2312"/>
          <w:color w:val="auto"/>
          <w:sz w:val="32"/>
          <w:szCs w:val="32"/>
          <w:u w:val="none"/>
          <w:lang w:eastAsia="zh-CN"/>
        </w:rPr>
        <w:t>梁家春</w:t>
      </w:r>
      <w:r>
        <w:rPr>
          <w:rFonts w:hint="eastAsia" w:ascii="仿宋_GB2312" w:hAnsi="Times New Roman" w:eastAsia="仿宋_GB2312" w:cs="楷体_GB2312"/>
          <w:color w:val="auto"/>
          <w:sz w:val="32"/>
          <w:szCs w:val="32"/>
          <w:u w:val="none"/>
        </w:rPr>
        <w:t>犯</w:t>
      </w:r>
      <w:r>
        <w:rPr>
          <w:rFonts w:hint="eastAsia" w:ascii="仿宋_GB2312" w:hAnsi="Times New Roman" w:eastAsia="仿宋_GB2312" w:cs="楷体_GB2312"/>
          <w:color w:val="auto"/>
          <w:sz w:val="32"/>
          <w:szCs w:val="32"/>
          <w:u w:val="none"/>
          <w:lang w:eastAsia="zh-CN"/>
        </w:rPr>
        <w:t>贩卖、运输毒品罪</w:t>
      </w:r>
      <w:r>
        <w:rPr>
          <w:rFonts w:hint="eastAsia" w:ascii="仿宋_GB2312" w:hAnsi="Times New Roman" w:eastAsia="仿宋_GB2312" w:cs="楷体_GB2312"/>
          <w:color w:val="auto"/>
          <w:sz w:val="32"/>
          <w:szCs w:val="32"/>
          <w:u w:val="none"/>
        </w:rPr>
        <w:t>，判处</w:t>
      </w:r>
      <w:r>
        <w:rPr>
          <w:rFonts w:hint="eastAsia" w:ascii="仿宋_GB2312" w:hAnsi="Times New Roman" w:eastAsia="仿宋_GB2312" w:cs="楷体_GB2312"/>
          <w:color w:val="auto"/>
          <w:sz w:val="32"/>
          <w:szCs w:val="32"/>
          <w:u w:val="none"/>
          <w:lang w:eastAsia="zh-CN"/>
        </w:rPr>
        <w:t>无期徒刑，剥夺政治权利终身，并处没收个人全部财产</w:t>
      </w:r>
      <w:r>
        <w:rPr>
          <w:rFonts w:hint="eastAsia" w:ascii="仿宋_GB2312" w:hAnsi="Times New Roman" w:eastAsia="仿宋_GB2312" w:cs="楷体_GB2312"/>
          <w:color w:val="auto"/>
          <w:sz w:val="32"/>
          <w:szCs w:val="32"/>
          <w:u w:val="none"/>
          <w:lang w:val="en-US" w:eastAsia="zh-CN"/>
        </w:rPr>
        <w:t>。于2020年10月20日</w:t>
      </w:r>
      <w:r>
        <w:rPr>
          <w:rFonts w:hint="eastAsia" w:ascii="仿宋_GB2312" w:hAnsi="Times New Roman" w:eastAsia="仿宋_GB2312" w:cs="楷体_GB2312"/>
          <w:color w:val="auto"/>
          <w:sz w:val="32"/>
          <w:szCs w:val="32"/>
          <w:u w:val="none"/>
        </w:rPr>
        <w:t>交付福建省漳州监狱执行刑罚</w:t>
      </w:r>
      <w:r>
        <w:rPr>
          <w:rFonts w:ascii="仿宋_GB2312" w:hAnsi="Times New Roman" w:eastAsia="仿宋_GB2312" w:cs="楷体_GB2312"/>
          <w:color w:val="auto"/>
          <w:sz w:val="32"/>
          <w:szCs w:val="32"/>
          <w:u w:val="none"/>
        </w:rPr>
        <w:t>。现属</w:t>
      </w:r>
      <w:r>
        <w:rPr>
          <w:rFonts w:hint="eastAsia" w:ascii="仿宋_GB2312" w:hAnsi="Times New Roman" w:eastAsia="仿宋_GB2312" w:cs="楷体_GB2312"/>
          <w:color w:val="auto"/>
          <w:sz w:val="32"/>
          <w:szCs w:val="32"/>
          <w:u w:val="none"/>
          <w:lang w:eastAsia="zh-CN"/>
        </w:rPr>
        <w:t>普管</w:t>
      </w:r>
      <w:r>
        <w:rPr>
          <w:rFonts w:ascii="仿宋_GB2312" w:hAnsi="Times New Roman" w:eastAsia="仿宋_GB2312" w:cs="楷体_GB2312"/>
          <w:color w:val="auto"/>
          <w:sz w:val="32"/>
          <w:szCs w:val="32"/>
          <w:u w:val="none"/>
        </w:rPr>
        <w:t>级罪犯。</w:t>
      </w:r>
    </w:p>
    <w:p>
      <w:pPr>
        <w:spacing w:line="480" w:lineRule="exact"/>
        <w:ind w:firstLine="707" w:firstLineChars="221"/>
        <w:jc w:val="left"/>
        <w:rPr>
          <w:rFonts w:ascii="仿宋_GB2312" w:hAnsi="Times New Roman" w:eastAsia="仿宋_GB2312" w:cs="楷体_GB2312"/>
          <w:color w:val="auto"/>
          <w:sz w:val="32"/>
          <w:szCs w:val="32"/>
          <w:u w:val="none"/>
        </w:rPr>
      </w:pPr>
      <w:r>
        <w:rPr>
          <w:rFonts w:ascii="仿宋_GB2312" w:hAnsi="Times New Roman" w:eastAsia="仿宋_GB2312" w:cs="楷体_GB2312"/>
          <w:color w:val="auto"/>
          <w:sz w:val="32"/>
          <w:szCs w:val="32"/>
          <w:u w:val="none"/>
        </w:rPr>
        <w:t>该犯自</w:t>
      </w:r>
      <w:r>
        <w:rPr>
          <w:rFonts w:hint="eastAsia" w:ascii="仿宋_GB2312" w:hAnsi="Times New Roman" w:eastAsia="仿宋_GB2312" w:cs="楷体_GB2312"/>
          <w:color w:val="auto"/>
          <w:sz w:val="32"/>
          <w:szCs w:val="32"/>
          <w:u w:val="none"/>
        </w:rPr>
        <w:t>入监</w:t>
      </w:r>
      <w:r>
        <w:rPr>
          <w:rFonts w:ascii="仿宋_GB2312" w:hAnsi="Times New Roman" w:eastAsia="仿宋_GB2312" w:cs="楷体_GB2312"/>
          <w:color w:val="auto"/>
          <w:sz w:val="32"/>
          <w:szCs w:val="32"/>
          <w:u w:val="none"/>
        </w:rPr>
        <w:t>以来</w:t>
      </w:r>
      <w:r>
        <w:rPr>
          <w:rFonts w:hint="eastAsia" w:ascii="仿宋_GB2312" w:hAnsi="Times New Roman" w:eastAsia="仿宋_GB2312" w:cs="楷体_GB2312"/>
          <w:color w:val="auto"/>
          <w:sz w:val="32"/>
          <w:szCs w:val="32"/>
          <w:u w:val="none"/>
        </w:rPr>
        <w:t>确有悔改表现，具体事实如下：</w:t>
      </w:r>
    </w:p>
    <w:p>
      <w:pPr>
        <w:spacing w:line="480" w:lineRule="exact"/>
        <w:ind w:firstLine="707" w:firstLineChars="221"/>
        <w:jc w:val="left"/>
        <w:rPr>
          <w:rFonts w:ascii="仿宋_GB2312" w:hAnsi="Times New Roman" w:eastAsia="仿宋_GB2312" w:cs="楷体_GB2312"/>
          <w:iCs/>
          <w:color w:val="auto"/>
          <w:sz w:val="32"/>
          <w:szCs w:val="32"/>
          <w:u w:val="none"/>
        </w:rPr>
      </w:pPr>
      <w:r>
        <w:rPr>
          <w:rFonts w:hint="eastAsia" w:ascii="仿宋_GB2312" w:hAnsi="Times New Roman" w:eastAsia="仿宋_GB2312" w:cs="楷体_GB2312"/>
          <w:iCs/>
          <w:color w:val="auto"/>
          <w:sz w:val="32"/>
          <w:szCs w:val="32"/>
          <w:u w:val="none"/>
        </w:rPr>
        <w:t>认罪悔罪：能服从法院判决，自书认罪悔罪书。</w:t>
      </w:r>
    </w:p>
    <w:p>
      <w:pPr>
        <w:spacing w:line="480" w:lineRule="exact"/>
        <w:ind w:firstLine="707" w:firstLineChars="221"/>
        <w:jc w:val="left"/>
        <w:rPr>
          <w:rFonts w:hint="eastAsia" w:ascii="仿宋_GB2312" w:hAnsi="Times New Roman" w:eastAsia="仿宋_GB2312" w:cs="楷体_GB2312"/>
          <w:color w:val="auto"/>
          <w:sz w:val="32"/>
          <w:szCs w:val="32"/>
          <w:u w:val="none"/>
        </w:rPr>
      </w:pPr>
      <w:r>
        <w:rPr>
          <w:rFonts w:hint="eastAsia" w:ascii="仿宋_GB2312" w:hAnsi="Times New Roman" w:eastAsia="仿宋_GB2312" w:cs="楷体_GB2312"/>
          <w:color w:val="auto"/>
          <w:sz w:val="32"/>
          <w:szCs w:val="32"/>
          <w:u w:val="none"/>
        </w:rPr>
        <w:t>遵守监规</w:t>
      </w:r>
      <w:r>
        <w:rPr>
          <w:rFonts w:hint="eastAsia" w:ascii="仿宋_GB2312" w:hAnsi="Times New Roman" w:eastAsia="仿宋_GB2312" w:cs="楷体_GB2312"/>
          <w:color w:val="auto"/>
          <w:sz w:val="32"/>
          <w:szCs w:val="32"/>
          <w:u w:val="none"/>
          <w:lang w:val="zh-CN"/>
        </w:rPr>
        <w:t>：</w:t>
      </w:r>
      <w:r>
        <w:rPr>
          <w:rFonts w:hint="eastAsia" w:ascii="仿宋_GB2312" w:hAnsi="Times New Roman" w:eastAsia="仿宋_GB2312" w:cs="楷体_GB2312"/>
          <w:color w:val="auto"/>
          <w:sz w:val="32"/>
          <w:szCs w:val="32"/>
          <w:u w:val="none"/>
        </w:rPr>
        <w:t>该犯考核期内虽有违规，但经民警教育后，能认识到错误，有悔改表现，本次提请前能遵守法律法规及监规纪律，接受教育改造</w:t>
      </w:r>
      <w:r>
        <w:rPr>
          <w:rFonts w:hint="eastAsia" w:ascii="仿宋_GB2312" w:hAnsi="Times New Roman" w:eastAsia="仿宋_GB2312" w:cs="楷体_GB2312"/>
          <w:color w:val="auto"/>
          <w:sz w:val="32"/>
          <w:szCs w:val="32"/>
          <w:u w:val="none"/>
          <w:lang w:val="zh-CN"/>
        </w:rPr>
        <w:t>。</w:t>
      </w:r>
    </w:p>
    <w:p>
      <w:pPr>
        <w:spacing w:line="480" w:lineRule="exact"/>
        <w:ind w:firstLine="707" w:firstLineChars="221"/>
        <w:jc w:val="left"/>
        <w:rPr>
          <w:rFonts w:ascii="仿宋_GB2312" w:hAnsi="Times New Roman" w:eastAsia="仿宋_GB2312" w:cs="楷体_GB2312"/>
          <w:color w:val="auto"/>
          <w:sz w:val="32"/>
          <w:szCs w:val="32"/>
          <w:u w:val="none"/>
          <w:lang w:val="zh-CN"/>
        </w:rPr>
      </w:pPr>
      <w:r>
        <w:rPr>
          <w:rFonts w:hint="eastAsia" w:ascii="仿宋_GB2312" w:hAnsi="Times New Roman" w:eastAsia="仿宋_GB2312" w:cs="楷体_GB2312"/>
          <w:color w:val="auto"/>
          <w:sz w:val="32"/>
          <w:szCs w:val="32"/>
          <w:u w:val="none"/>
          <w:lang w:val="zh-CN"/>
        </w:rPr>
        <w:t>学习情况：能参加</w:t>
      </w:r>
      <w:r>
        <w:rPr>
          <w:rFonts w:hint="eastAsia" w:ascii="仿宋_GB2312" w:hAnsi="Times New Roman" w:eastAsia="仿宋_GB2312" w:cs="楷体_GB2312"/>
          <w:color w:val="auto"/>
          <w:sz w:val="32"/>
          <w:szCs w:val="32"/>
          <w:u w:val="none"/>
        </w:rPr>
        <w:t>思想、文化、职业技术教育</w:t>
      </w:r>
      <w:r>
        <w:rPr>
          <w:rFonts w:hint="eastAsia" w:ascii="仿宋_GB2312" w:hAnsi="Times New Roman" w:eastAsia="仿宋_GB2312" w:cs="楷体_GB2312"/>
          <w:color w:val="auto"/>
          <w:sz w:val="32"/>
          <w:szCs w:val="32"/>
          <w:u w:val="none"/>
          <w:lang w:val="zh-CN"/>
        </w:rPr>
        <w:t>。</w:t>
      </w:r>
    </w:p>
    <w:p>
      <w:pPr>
        <w:spacing w:line="480" w:lineRule="exact"/>
        <w:ind w:firstLine="707" w:firstLineChars="221"/>
        <w:jc w:val="left"/>
        <w:rPr>
          <w:rFonts w:ascii="仿宋_GB2312" w:hAnsi="Times New Roman" w:eastAsia="仿宋_GB2312" w:cs="楷体_GB2312"/>
          <w:color w:val="auto"/>
          <w:sz w:val="32"/>
          <w:szCs w:val="32"/>
          <w:u w:val="none"/>
          <w:lang w:val="zh-CN"/>
        </w:rPr>
      </w:pPr>
      <w:r>
        <w:rPr>
          <w:rFonts w:hint="eastAsia" w:ascii="仿宋_GB2312" w:hAnsi="Times New Roman" w:eastAsia="仿宋_GB2312" w:cs="楷体_GB2312"/>
          <w:color w:val="auto"/>
          <w:sz w:val="32"/>
          <w:szCs w:val="32"/>
          <w:u w:val="none"/>
          <w:lang w:val="zh-CN"/>
        </w:rPr>
        <w:t>劳动改造：能参加劳动，努力完成</w:t>
      </w:r>
      <w:r>
        <w:rPr>
          <w:rFonts w:hint="eastAsia" w:ascii="仿宋_GB2312" w:hAnsi="Times New Roman" w:eastAsia="仿宋_GB2312" w:cs="楷体_GB2312"/>
          <w:color w:val="auto"/>
          <w:sz w:val="32"/>
          <w:szCs w:val="32"/>
          <w:u w:val="none"/>
        </w:rPr>
        <w:t>劳动</w:t>
      </w:r>
      <w:r>
        <w:rPr>
          <w:rFonts w:hint="eastAsia" w:ascii="仿宋_GB2312" w:hAnsi="Times New Roman" w:eastAsia="仿宋_GB2312" w:cs="楷体_GB2312"/>
          <w:color w:val="auto"/>
          <w:sz w:val="32"/>
          <w:szCs w:val="32"/>
          <w:u w:val="none"/>
          <w:lang w:val="zh-CN"/>
        </w:rPr>
        <w:t>任务。</w:t>
      </w:r>
    </w:p>
    <w:p>
      <w:pPr>
        <w:spacing w:line="480" w:lineRule="exact"/>
        <w:ind w:firstLine="707" w:firstLineChars="221"/>
        <w:jc w:val="left"/>
        <w:rPr>
          <w:rFonts w:hint="eastAsia" w:ascii="仿宋_GB2312" w:hAnsi="Times New Roman" w:eastAsia="仿宋_GB2312" w:cs="楷体_GB2312"/>
          <w:color w:val="auto"/>
          <w:sz w:val="32"/>
          <w:szCs w:val="32"/>
          <w:u w:val="none"/>
          <w:lang w:val="zh-CN" w:eastAsia="zh-CN"/>
        </w:rPr>
      </w:pPr>
      <w:r>
        <w:rPr>
          <w:rFonts w:hint="eastAsia" w:ascii="仿宋_GB2312" w:hAnsi="Times New Roman" w:eastAsia="仿宋_GB2312" w:cs="楷体_GB2312"/>
          <w:color w:val="auto"/>
          <w:sz w:val="32"/>
          <w:szCs w:val="32"/>
          <w:u w:val="none"/>
        </w:rPr>
        <w:t>奖惩情况：</w:t>
      </w:r>
      <w:r>
        <w:rPr>
          <w:rFonts w:ascii="仿宋_GB2312" w:hAnsi="Times New Roman" w:eastAsia="仿宋_GB2312" w:cs="楷体_GB2312"/>
          <w:color w:val="auto"/>
          <w:sz w:val="32"/>
          <w:szCs w:val="32"/>
          <w:u w:val="none"/>
        </w:rPr>
        <w:t>该犯</w:t>
      </w:r>
      <w:r>
        <w:rPr>
          <w:rFonts w:hint="eastAsia" w:ascii="仿宋_GB2312" w:hAnsi="Times New Roman" w:eastAsia="仿宋_GB2312" w:cs="楷体_GB2312"/>
          <w:bCs/>
          <w:color w:val="auto"/>
          <w:sz w:val="32"/>
          <w:szCs w:val="32"/>
          <w:u w:val="none"/>
        </w:rPr>
        <w:t>考核期202</w:t>
      </w:r>
      <w:r>
        <w:rPr>
          <w:rFonts w:hint="eastAsia" w:ascii="仿宋_GB2312" w:hAnsi="Times New Roman" w:eastAsia="仿宋_GB2312" w:cs="楷体_GB2312"/>
          <w:bCs/>
          <w:color w:val="auto"/>
          <w:sz w:val="32"/>
          <w:szCs w:val="32"/>
          <w:u w:val="none"/>
          <w:lang w:val="en-US" w:eastAsia="zh-CN"/>
        </w:rPr>
        <w:t>0</w:t>
      </w:r>
      <w:r>
        <w:rPr>
          <w:rFonts w:hint="eastAsia" w:ascii="仿宋_GB2312" w:hAnsi="Times New Roman" w:eastAsia="仿宋_GB2312" w:cs="楷体_GB2312"/>
          <w:bCs/>
          <w:color w:val="auto"/>
          <w:sz w:val="32"/>
          <w:szCs w:val="32"/>
          <w:u w:val="none"/>
        </w:rPr>
        <w:t>年</w:t>
      </w:r>
      <w:r>
        <w:rPr>
          <w:rFonts w:hint="eastAsia" w:ascii="仿宋_GB2312" w:hAnsi="Times New Roman" w:eastAsia="仿宋_GB2312" w:cs="楷体_GB2312"/>
          <w:bCs/>
          <w:color w:val="auto"/>
          <w:sz w:val="32"/>
          <w:szCs w:val="32"/>
          <w:u w:val="none"/>
          <w:lang w:val="en-US" w:eastAsia="zh-CN"/>
        </w:rPr>
        <w:t>10</w:t>
      </w:r>
      <w:r>
        <w:rPr>
          <w:rFonts w:hint="eastAsia" w:ascii="仿宋_GB2312" w:hAnsi="Times New Roman" w:eastAsia="仿宋_GB2312" w:cs="楷体_GB2312"/>
          <w:bCs/>
          <w:color w:val="auto"/>
          <w:sz w:val="32"/>
          <w:szCs w:val="32"/>
          <w:u w:val="none"/>
        </w:rPr>
        <w:t>月</w:t>
      </w:r>
      <w:r>
        <w:rPr>
          <w:rFonts w:hint="eastAsia" w:ascii="仿宋_GB2312" w:hAnsi="Times New Roman" w:eastAsia="仿宋_GB2312" w:cs="楷体_GB2312"/>
          <w:bCs/>
          <w:color w:val="auto"/>
          <w:sz w:val="32"/>
          <w:szCs w:val="32"/>
          <w:u w:val="none"/>
          <w:lang w:val="en-US" w:eastAsia="zh-CN"/>
        </w:rPr>
        <w:t>20</w:t>
      </w:r>
      <w:r>
        <w:rPr>
          <w:rFonts w:hint="eastAsia" w:ascii="仿宋_GB2312" w:hAnsi="Times New Roman" w:eastAsia="仿宋_GB2312" w:cs="楷体_GB2312"/>
          <w:bCs/>
          <w:color w:val="auto"/>
          <w:sz w:val="32"/>
          <w:szCs w:val="32"/>
          <w:u w:val="none"/>
        </w:rPr>
        <w:t>日至202</w:t>
      </w:r>
      <w:r>
        <w:rPr>
          <w:rFonts w:hint="eastAsia" w:ascii="仿宋_GB2312" w:hAnsi="Times New Roman" w:eastAsia="仿宋_GB2312" w:cs="楷体_GB2312"/>
          <w:bCs/>
          <w:color w:val="auto"/>
          <w:sz w:val="32"/>
          <w:szCs w:val="32"/>
          <w:u w:val="none"/>
          <w:lang w:val="en-US" w:eastAsia="zh-CN"/>
        </w:rPr>
        <w:t>5</w:t>
      </w:r>
      <w:r>
        <w:rPr>
          <w:rFonts w:hint="eastAsia" w:ascii="仿宋_GB2312" w:hAnsi="Times New Roman" w:eastAsia="仿宋_GB2312" w:cs="楷体_GB2312"/>
          <w:bCs/>
          <w:color w:val="auto"/>
          <w:sz w:val="32"/>
          <w:szCs w:val="32"/>
          <w:u w:val="none"/>
        </w:rPr>
        <w:t>年</w:t>
      </w:r>
      <w:r>
        <w:rPr>
          <w:rFonts w:hint="eastAsia" w:ascii="仿宋_GB2312" w:hAnsi="Times New Roman" w:eastAsia="仿宋_GB2312" w:cs="楷体_GB2312"/>
          <w:bCs/>
          <w:color w:val="auto"/>
          <w:sz w:val="32"/>
          <w:szCs w:val="32"/>
          <w:u w:val="none"/>
          <w:lang w:val="en-US" w:eastAsia="zh-CN"/>
        </w:rPr>
        <w:t>3</w:t>
      </w:r>
      <w:r>
        <w:rPr>
          <w:rFonts w:hint="eastAsia" w:ascii="仿宋_GB2312" w:hAnsi="Times New Roman" w:eastAsia="仿宋_GB2312" w:cs="楷体_GB2312"/>
          <w:bCs/>
          <w:color w:val="auto"/>
          <w:sz w:val="32"/>
          <w:szCs w:val="32"/>
          <w:u w:val="none"/>
        </w:rPr>
        <w:t>月</w:t>
      </w:r>
      <w:r>
        <w:rPr>
          <w:rFonts w:ascii="仿宋_GB2312" w:hAnsi="Times New Roman" w:eastAsia="仿宋_GB2312" w:cs="楷体_GB2312"/>
          <w:color w:val="auto"/>
          <w:sz w:val="32"/>
          <w:szCs w:val="32"/>
          <w:u w:val="none"/>
        </w:rPr>
        <w:t>累计获</w:t>
      </w:r>
      <w:r>
        <w:rPr>
          <w:rFonts w:hint="eastAsia" w:ascii="仿宋_GB2312" w:hAnsi="Times New Roman" w:eastAsia="仿宋_GB2312" w:cs="楷体_GB2312"/>
          <w:color w:val="auto"/>
          <w:sz w:val="32"/>
          <w:szCs w:val="32"/>
          <w:u w:val="none"/>
        </w:rPr>
        <w:t>考核分</w:t>
      </w:r>
      <w:r>
        <w:rPr>
          <w:rFonts w:hint="eastAsia" w:ascii="仿宋_GB2312" w:hAnsi="Times New Roman" w:eastAsia="仿宋_GB2312" w:cs="楷体_GB2312"/>
          <w:color w:val="auto"/>
          <w:sz w:val="32"/>
          <w:szCs w:val="32"/>
          <w:u w:val="none"/>
          <w:lang w:val="en-US" w:eastAsia="zh-CN"/>
        </w:rPr>
        <w:t>5194</w:t>
      </w:r>
      <w:r>
        <w:rPr>
          <w:rFonts w:ascii="仿宋_GB2312" w:hAnsi="Times New Roman" w:eastAsia="仿宋_GB2312" w:cs="楷体_GB2312"/>
          <w:color w:val="auto"/>
          <w:sz w:val="32"/>
          <w:szCs w:val="32"/>
          <w:u w:val="none"/>
        </w:rPr>
        <w:t>分</w:t>
      </w:r>
      <w:r>
        <w:rPr>
          <w:rFonts w:hint="eastAsia" w:ascii="仿宋_GB2312" w:hAnsi="Times New Roman" w:eastAsia="仿宋_GB2312" w:cs="楷体_GB2312"/>
          <w:color w:val="auto"/>
          <w:sz w:val="32"/>
          <w:szCs w:val="32"/>
          <w:u w:val="none"/>
          <w:lang w:eastAsia="zh-CN"/>
        </w:rPr>
        <w:t>，表扬</w:t>
      </w:r>
      <w:r>
        <w:rPr>
          <w:rFonts w:hint="eastAsia" w:ascii="仿宋_GB2312" w:hAnsi="Times New Roman" w:eastAsia="仿宋_GB2312" w:cs="楷体_GB2312"/>
          <w:color w:val="auto"/>
          <w:sz w:val="32"/>
          <w:szCs w:val="32"/>
          <w:u w:val="none"/>
          <w:lang w:val="en-US" w:eastAsia="zh-CN"/>
        </w:rPr>
        <w:t>4次，物质奖励4次。</w:t>
      </w:r>
      <w:r>
        <w:rPr>
          <w:rFonts w:hint="eastAsia" w:ascii="仿宋_GB2312" w:hAnsi="Times New Roman" w:eastAsia="仿宋_GB2312" w:cs="楷体_GB2312"/>
          <w:color w:val="auto"/>
          <w:sz w:val="32"/>
          <w:szCs w:val="32"/>
          <w:u w:val="none"/>
          <w:lang w:val="zh-CN"/>
        </w:rPr>
        <w:t>考核期内</w:t>
      </w:r>
      <w:r>
        <w:rPr>
          <w:rFonts w:hint="eastAsia" w:ascii="仿宋_GB2312" w:hAnsi="Times New Roman" w:eastAsia="仿宋_GB2312" w:cs="楷体_GB2312"/>
          <w:color w:val="auto"/>
          <w:sz w:val="32"/>
          <w:szCs w:val="32"/>
          <w:u w:val="none"/>
          <w:lang w:val="zh-CN" w:eastAsia="zh-CN"/>
        </w:rPr>
        <w:t>违规扣分1次，扣</w:t>
      </w:r>
      <w:r>
        <w:rPr>
          <w:rFonts w:hint="eastAsia" w:ascii="仿宋_GB2312" w:hAnsi="Times New Roman" w:eastAsia="仿宋_GB2312" w:cs="楷体_GB2312"/>
          <w:color w:val="auto"/>
          <w:sz w:val="32"/>
          <w:szCs w:val="32"/>
          <w:u w:val="none"/>
          <w:lang w:val="en-US" w:eastAsia="zh-CN"/>
        </w:rPr>
        <w:t>2</w:t>
      </w:r>
      <w:r>
        <w:rPr>
          <w:rFonts w:hint="eastAsia" w:ascii="仿宋_GB2312" w:hAnsi="Times New Roman" w:eastAsia="仿宋_GB2312" w:cs="楷体_GB2312"/>
          <w:color w:val="auto"/>
          <w:sz w:val="32"/>
          <w:szCs w:val="32"/>
          <w:u w:val="none"/>
          <w:lang w:val="zh-CN" w:eastAsia="zh-CN"/>
        </w:rPr>
        <w:t>分，无重大违规。</w:t>
      </w:r>
    </w:p>
    <w:p>
      <w:pPr>
        <w:spacing w:line="480" w:lineRule="exact"/>
        <w:ind w:firstLine="707" w:firstLineChars="221"/>
        <w:jc w:val="both"/>
        <w:rPr>
          <w:rFonts w:hint="eastAsia" w:ascii="仿宋_GB2312" w:hAnsi="Times New Roman" w:eastAsia="仿宋_GB2312" w:cs="楷体_GB2312"/>
          <w:color w:val="auto"/>
          <w:sz w:val="32"/>
          <w:szCs w:val="32"/>
          <w:u w:val="none"/>
          <w:lang w:val="en-US" w:eastAsia="zh-CN"/>
        </w:rPr>
      </w:pPr>
      <w:r>
        <w:rPr>
          <w:rFonts w:hint="eastAsia" w:ascii="仿宋_GB2312" w:hAnsi="Times New Roman" w:eastAsia="仿宋_GB2312" w:cs="楷体_GB2312"/>
          <w:color w:val="auto"/>
          <w:sz w:val="32"/>
          <w:szCs w:val="32"/>
          <w:u w:val="none"/>
        </w:rPr>
        <w:t>该犯</w:t>
      </w:r>
      <w:r>
        <w:rPr>
          <w:rFonts w:hint="eastAsia" w:ascii="仿宋_GB2312" w:hAnsi="Times New Roman" w:eastAsia="仿宋_GB2312" w:cs="楷体_GB2312"/>
          <w:color w:val="auto"/>
          <w:sz w:val="32"/>
          <w:szCs w:val="32"/>
          <w:u w:val="none"/>
          <w:lang w:eastAsia="zh-CN"/>
        </w:rPr>
        <w:t>原判财产性判项已履行人民币</w:t>
      </w:r>
      <w:r>
        <w:rPr>
          <w:rFonts w:hint="eastAsia" w:ascii="仿宋_GB2312" w:hAnsi="Times New Roman" w:eastAsia="仿宋_GB2312" w:cs="楷体_GB2312"/>
          <w:color w:val="auto"/>
          <w:sz w:val="32"/>
          <w:szCs w:val="32"/>
          <w:u w:val="none"/>
          <w:lang w:val="en-US" w:eastAsia="zh-CN"/>
        </w:rPr>
        <w:t>1000元，</w:t>
      </w:r>
      <w:r>
        <w:rPr>
          <w:rFonts w:hint="eastAsia" w:ascii="仿宋_GB2312" w:hAnsi="Times New Roman" w:eastAsia="仿宋_GB2312" w:cs="楷体_GB2312"/>
          <w:color w:val="auto"/>
          <w:sz w:val="32"/>
          <w:szCs w:val="32"/>
          <w:u w:val="none"/>
        </w:rPr>
        <w:t>其中本次提请向福建省</w:t>
      </w:r>
      <w:r>
        <w:rPr>
          <w:rFonts w:hint="eastAsia" w:ascii="仿宋_GB2312" w:hAnsi="Times New Roman" w:eastAsia="仿宋_GB2312" w:cs="楷体_GB2312"/>
          <w:color w:val="auto"/>
          <w:sz w:val="32"/>
          <w:szCs w:val="32"/>
          <w:u w:val="none"/>
          <w:lang w:eastAsia="zh-CN"/>
        </w:rPr>
        <w:t>厦门市中级人民法院</w:t>
      </w:r>
      <w:r>
        <w:rPr>
          <w:rFonts w:hint="eastAsia" w:ascii="仿宋_GB2312" w:hAnsi="Times New Roman" w:eastAsia="仿宋_GB2312" w:cs="楷体_GB2312"/>
          <w:color w:val="auto"/>
          <w:sz w:val="32"/>
          <w:szCs w:val="32"/>
          <w:u w:val="none"/>
        </w:rPr>
        <w:t>缴纳</w:t>
      </w:r>
      <w:r>
        <w:rPr>
          <w:rFonts w:hint="eastAsia" w:ascii="仿宋_GB2312" w:hAnsi="Times New Roman" w:eastAsia="仿宋_GB2312" w:cs="楷体_GB2312"/>
          <w:color w:val="auto"/>
          <w:sz w:val="32"/>
          <w:szCs w:val="32"/>
          <w:u w:val="none"/>
          <w:lang w:eastAsia="zh-CN"/>
        </w:rPr>
        <w:t>没收财产</w:t>
      </w:r>
      <w:r>
        <w:rPr>
          <w:rFonts w:hint="eastAsia" w:ascii="仿宋_GB2312" w:hAnsi="Times New Roman" w:eastAsia="仿宋_GB2312" w:cs="楷体_GB2312"/>
          <w:color w:val="auto"/>
          <w:sz w:val="32"/>
          <w:szCs w:val="32"/>
          <w:u w:val="none"/>
        </w:rPr>
        <w:t>人民币</w:t>
      </w:r>
      <w:r>
        <w:rPr>
          <w:rFonts w:hint="eastAsia" w:ascii="仿宋_GB2312" w:hAnsi="Times New Roman" w:eastAsia="仿宋_GB2312" w:cs="楷体_GB2312"/>
          <w:color w:val="auto"/>
          <w:sz w:val="32"/>
          <w:szCs w:val="32"/>
          <w:u w:val="none"/>
          <w:lang w:val="en-US" w:eastAsia="zh-CN"/>
        </w:rPr>
        <w:t>1000</w:t>
      </w:r>
      <w:r>
        <w:rPr>
          <w:rFonts w:hint="eastAsia" w:ascii="仿宋_GB2312" w:hAnsi="Times New Roman" w:eastAsia="仿宋_GB2312" w:cs="楷体_GB2312"/>
          <w:color w:val="auto"/>
          <w:sz w:val="32"/>
          <w:szCs w:val="32"/>
          <w:u w:val="none"/>
        </w:rPr>
        <w:t>元。</w:t>
      </w:r>
      <w:r>
        <w:rPr>
          <w:rFonts w:hint="eastAsia" w:ascii="仿宋_GB2312" w:hAnsi="Times New Roman" w:eastAsia="仿宋_GB2312" w:cs="楷体_GB2312"/>
          <w:color w:val="auto"/>
          <w:sz w:val="32"/>
          <w:szCs w:val="32"/>
          <w:u w:val="none"/>
          <w:lang w:val="en-US" w:eastAsia="zh-CN"/>
        </w:rPr>
        <w:t>该犯考核期月均消费人民币171.71元，账户可用余额人民币677.77元</w:t>
      </w:r>
      <w:r>
        <w:rPr>
          <w:rFonts w:hint="eastAsia" w:ascii="仿宋_GB2312" w:hAnsi="Times New Roman" w:eastAsia="仿宋_GB2312" w:cs="楷体_GB2312"/>
          <w:color w:val="auto"/>
          <w:sz w:val="32"/>
          <w:szCs w:val="32"/>
          <w:u w:val="none"/>
        </w:rPr>
        <w:t>。</w:t>
      </w:r>
      <w:r>
        <w:rPr>
          <w:rFonts w:hint="eastAsia" w:ascii="仿宋_GB2312" w:hAnsi="Times New Roman" w:eastAsia="仿宋_GB2312" w:cs="楷体_GB2312"/>
          <w:color w:val="auto"/>
          <w:sz w:val="32"/>
          <w:szCs w:val="32"/>
          <w:u w:val="none"/>
          <w:lang w:val="en-US" w:eastAsia="zh-CN"/>
        </w:rPr>
        <w:t>2025年</w:t>
      </w:r>
      <w:r>
        <w:rPr>
          <w:rFonts w:hint="eastAsia" w:ascii="仿宋_GB2312" w:hAnsi="Times New Roman" w:cs="楷体_GB2312"/>
          <w:color w:val="auto"/>
          <w:sz w:val="32"/>
          <w:szCs w:val="32"/>
          <w:u w:val="none"/>
          <w:lang w:val="en-US" w:eastAsia="zh-CN"/>
        </w:rPr>
        <w:t>2</w:t>
      </w:r>
      <w:r>
        <w:rPr>
          <w:rFonts w:hint="eastAsia" w:ascii="仿宋_GB2312" w:hAnsi="Times New Roman" w:eastAsia="仿宋_GB2312" w:cs="楷体_GB2312"/>
          <w:color w:val="auto"/>
          <w:sz w:val="32"/>
          <w:szCs w:val="32"/>
          <w:u w:val="none"/>
          <w:lang w:val="en-US" w:eastAsia="zh-CN"/>
        </w:rPr>
        <w:t>月</w:t>
      </w:r>
      <w:r>
        <w:rPr>
          <w:rFonts w:hint="eastAsia" w:ascii="仿宋_GB2312" w:hAnsi="Times New Roman" w:cs="楷体_GB2312"/>
          <w:color w:val="auto"/>
          <w:sz w:val="32"/>
          <w:szCs w:val="32"/>
          <w:u w:val="none"/>
          <w:lang w:val="en-US" w:eastAsia="zh-CN"/>
        </w:rPr>
        <w:t>1</w:t>
      </w:r>
      <w:r>
        <w:rPr>
          <w:rFonts w:hint="eastAsia" w:ascii="仿宋_GB2312" w:hAnsi="Times New Roman" w:eastAsia="仿宋_GB2312" w:cs="楷体_GB2312"/>
          <w:color w:val="auto"/>
          <w:sz w:val="32"/>
          <w:szCs w:val="32"/>
          <w:u w:val="none"/>
          <w:lang w:val="en-US" w:eastAsia="zh-CN"/>
        </w:rPr>
        <w:t>3日福建省</w:t>
      </w:r>
      <w:r>
        <w:rPr>
          <w:rFonts w:hint="eastAsia" w:ascii="仿宋_GB2312" w:hAnsi="Times New Roman" w:eastAsia="仿宋_GB2312" w:cs="楷体_GB2312"/>
          <w:color w:val="auto"/>
          <w:sz w:val="32"/>
          <w:szCs w:val="32"/>
          <w:u w:val="none"/>
          <w:lang w:eastAsia="zh-CN"/>
        </w:rPr>
        <w:t>厦门市中级</w:t>
      </w:r>
      <w:r>
        <w:rPr>
          <w:rFonts w:hint="eastAsia" w:ascii="仿宋_GB2312" w:hAnsi="Times New Roman" w:eastAsia="仿宋_GB2312" w:cs="楷体_GB2312"/>
          <w:color w:val="auto"/>
          <w:sz w:val="32"/>
          <w:szCs w:val="32"/>
          <w:u w:val="none"/>
          <w:lang w:val="en-US" w:eastAsia="zh-CN"/>
        </w:rPr>
        <w:t>人民法院</w:t>
      </w:r>
      <w:r>
        <w:rPr>
          <w:rFonts w:hint="eastAsia" w:ascii="仿宋_GB2312" w:hAnsi="Times New Roman" w:cs="楷体_GB2312"/>
          <w:color w:val="auto"/>
          <w:sz w:val="32"/>
          <w:szCs w:val="32"/>
          <w:u w:val="none"/>
          <w:lang w:val="en-US" w:eastAsia="zh-CN"/>
        </w:rPr>
        <w:t>执行裁定书</w:t>
      </w:r>
      <w:r>
        <w:rPr>
          <w:rFonts w:hint="eastAsia" w:ascii="仿宋_GB2312" w:hAnsi="Times New Roman" w:eastAsia="仿宋_GB2312" w:cs="楷体_GB2312"/>
          <w:color w:val="auto"/>
          <w:sz w:val="32"/>
          <w:szCs w:val="32"/>
          <w:u w:val="none"/>
          <w:lang w:val="en-US" w:eastAsia="zh-CN"/>
        </w:rPr>
        <w:t>载明：本院穷尽财产调查措施未能查到被执行人梁家春有刑事裁判生效前所有的财产可供执行，故本案应对</w:t>
      </w:r>
      <w:r>
        <w:rPr>
          <w:rFonts w:hint="eastAsia" w:ascii="仿宋_GB2312" w:hAnsi="Times New Roman" w:cs="楷体_GB2312"/>
          <w:color w:val="auto"/>
          <w:sz w:val="32"/>
          <w:szCs w:val="32"/>
          <w:u w:val="none"/>
          <w:lang w:val="en-US" w:eastAsia="zh-CN"/>
        </w:rPr>
        <w:t>被</w:t>
      </w:r>
      <w:r>
        <w:rPr>
          <w:rFonts w:hint="eastAsia" w:ascii="仿宋_GB2312" w:hAnsi="Times New Roman" w:eastAsia="仿宋_GB2312" w:cs="楷体_GB2312"/>
          <w:color w:val="auto"/>
          <w:sz w:val="32"/>
          <w:szCs w:val="32"/>
          <w:u w:val="none"/>
          <w:lang w:val="en-US" w:eastAsia="zh-CN"/>
        </w:rPr>
        <w:t>执行人梁家春依法终结执行。</w:t>
      </w:r>
    </w:p>
    <w:p>
      <w:pPr>
        <w:pStyle w:val="9"/>
        <w:keepNext w:val="0"/>
        <w:keepLines w:val="0"/>
        <w:pageBreakBefore w:val="0"/>
        <w:widowControl w:val="0"/>
        <w:kinsoku/>
        <w:wordWrap/>
        <w:overflowPunct/>
        <w:topLinePunct w:val="0"/>
        <w:autoSpaceDE/>
        <w:autoSpaceDN/>
        <w:bidi w:val="0"/>
        <w:adjustRightInd/>
        <w:spacing w:line="240" w:lineRule="auto"/>
        <w:ind w:left="0" w:leftChars="0" w:firstLine="640" w:firstLineChars="200"/>
        <w:jc w:val="both"/>
        <w:textAlignment w:val="auto"/>
        <w:rPr>
          <w:rFonts w:hint="eastAsia" w:ascii="仿宋_GB2312" w:hAnsi="Times New Roman" w:eastAsia="仿宋_GB2312" w:cs="楷体_GB2312"/>
          <w:color w:val="auto"/>
          <w:sz w:val="32"/>
          <w:szCs w:val="32"/>
          <w:u w:val="none"/>
        </w:rPr>
      </w:pPr>
      <w:r>
        <w:rPr>
          <w:rFonts w:hint="eastAsia" w:ascii="仿宋_GB2312" w:hAnsi="Times New Roman" w:eastAsia="仿宋_GB2312" w:cs="楷体_GB2312"/>
          <w:color w:val="auto"/>
          <w:sz w:val="32"/>
          <w:szCs w:val="32"/>
          <w:u w:val="none"/>
        </w:rPr>
        <w:t>本案于</w:t>
      </w:r>
      <w:r>
        <w:rPr>
          <w:rFonts w:hint="eastAsia" w:ascii="仿宋_GB2312" w:cs="楷体_GB2312"/>
          <w:color w:val="auto"/>
          <w:sz w:val="32"/>
          <w:szCs w:val="32"/>
          <w:u w:val="none"/>
          <w:lang w:eastAsia="zh-CN"/>
        </w:rPr>
        <w:t>2025年6月20日至2025年6月26日</w:t>
      </w:r>
      <w:r>
        <w:rPr>
          <w:rFonts w:hint="eastAsia" w:ascii="仿宋_GB2312" w:hAnsi="Times New Roman" w:eastAsia="仿宋_GB2312" w:cs="楷体_GB2312"/>
          <w:color w:val="auto"/>
          <w:sz w:val="32"/>
          <w:szCs w:val="32"/>
          <w:u w:val="none"/>
        </w:rPr>
        <w:t>在狱内公示未收到不同意见。</w:t>
      </w:r>
    </w:p>
    <w:p>
      <w:pPr>
        <w:spacing w:line="480" w:lineRule="exact"/>
        <w:ind w:firstLine="707" w:firstLineChars="221"/>
        <w:jc w:val="left"/>
        <w:rPr>
          <w:rFonts w:hint="eastAsia" w:ascii="仿宋_GB2312" w:hAnsi="Times New Roman" w:eastAsia="仿宋_GB2312" w:cs="楷体_GB2312"/>
          <w:color w:val="auto"/>
          <w:sz w:val="32"/>
          <w:szCs w:val="32"/>
          <w:u w:val="none"/>
        </w:rPr>
      </w:pPr>
      <w:r>
        <w:rPr>
          <w:rFonts w:hint="eastAsia" w:ascii="仿宋_GB2312" w:hAnsi="Times New Roman" w:eastAsia="仿宋_GB2312" w:cs="楷体_GB2312"/>
          <w:color w:val="auto"/>
          <w:sz w:val="32"/>
          <w:szCs w:val="32"/>
          <w:u w:val="none"/>
        </w:rPr>
        <w:t>因此，依照《中华人民共和国刑法》第五十七条、第七十八条</w:t>
      </w:r>
      <w:r>
        <w:rPr>
          <w:rFonts w:hint="eastAsia" w:ascii="仿宋_GB2312" w:hAnsi="Times New Roman" w:eastAsia="仿宋_GB2312" w:cs="楷体_GB2312"/>
          <w:color w:val="auto"/>
          <w:sz w:val="32"/>
          <w:szCs w:val="32"/>
          <w:u w:val="none"/>
          <w:lang w:eastAsia="zh-CN"/>
        </w:rPr>
        <w:t>，</w:t>
      </w:r>
      <w:r>
        <w:rPr>
          <w:rFonts w:hint="eastAsia" w:ascii="仿宋_GB2312" w:hAnsi="Times New Roman" w:eastAsia="仿宋_GB2312" w:cs="楷体_GB2312"/>
          <w:color w:val="auto"/>
          <w:sz w:val="32"/>
          <w:szCs w:val="32"/>
          <w:u w:val="none"/>
        </w:rPr>
        <w:t>《中华人民共和国刑事诉讼法》第二百七十三条第二款和《中华人民共和国监狱法》第二十九条规定，建议对罪犯</w:t>
      </w:r>
      <w:r>
        <w:rPr>
          <w:rFonts w:hint="eastAsia" w:ascii="仿宋_GB2312" w:hAnsi="仿宋_GB2312" w:eastAsia="仿宋_GB2312" w:cs="仿宋_GB2312"/>
          <w:color w:val="auto"/>
          <w:sz w:val="32"/>
          <w:szCs w:val="32"/>
          <w:u w:val="none"/>
          <w:lang w:eastAsia="zh-CN"/>
        </w:rPr>
        <w:t>梁家春</w:t>
      </w:r>
      <w:r>
        <w:rPr>
          <w:rFonts w:hint="eastAsia" w:ascii="仿宋_GB2312" w:hAnsi="Times New Roman" w:eastAsia="仿宋_GB2312" w:cs="楷体_GB2312"/>
          <w:color w:val="auto"/>
          <w:sz w:val="32"/>
          <w:szCs w:val="32"/>
          <w:u w:val="none"/>
        </w:rPr>
        <w:t>减为有期徒刑</w:t>
      </w:r>
      <w:r>
        <w:rPr>
          <w:rFonts w:hint="eastAsia" w:ascii="仿宋_GB2312" w:hAnsi="Times New Roman" w:eastAsia="仿宋_GB2312" w:cs="楷体_GB2312"/>
          <w:color w:val="auto"/>
          <w:sz w:val="32"/>
          <w:szCs w:val="32"/>
          <w:u w:val="none"/>
          <w:lang w:val="en-US" w:eastAsia="zh-CN"/>
        </w:rPr>
        <w:t>二十二</w:t>
      </w:r>
      <w:r>
        <w:rPr>
          <w:rFonts w:hint="eastAsia" w:ascii="仿宋_GB2312" w:hAnsi="Times New Roman" w:eastAsia="仿宋_GB2312" w:cs="楷体_GB2312"/>
          <w:color w:val="auto"/>
          <w:sz w:val="32"/>
          <w:szCs w:val="32"/>
          <w:u w:val="none"/>
        </w:rPr>
        <w:t>年，剥夺政治权利改为</w:t>
      </w:r>
      <w:r>
        <w:rPr>
          <w:rFonts w:hint="eastAsia" w:ascii="仿宋_GB2312" w:hAnsi="Times New Roman" w:eastAsia="仿宋_GB2312" w:cs="楷体_GB2312"/>
          <w:color w:val="auto"/>
          <w:sz w:val="32"/>
          <w:szCs w:val="32"/>
          <w:u w:val="none"/>
          <w:lang w:eastAsia="zh-CN"/>
        </w:rPr>
        <w:t>十</w:t>
      </w:r>
      <w:r>
        <w:rPr>
          <w:rFonts w:hint="eastAsia" w:ascii="仿宋_GB2312" w:hAnsi="Times New Roman" w:eastAsia="仿宋_GB2312" w:cs="楷体_GB2312"/>
          <w:color w:val="auto"/>
          <w:sz w:val="32"/>
          <w:szCs w:val="32"/>
          <w:u w:val="none"/>
        </w:rPr>
        <w:t>年。特提请你院审理裁定。</w:t>
      </w:r>
    </w:p>
    <w:p>
      <w:pPr>
        <w:spacing w:line="480" w:lineRule="exact"/>
        <w:ind w:firstLine="707" w:firstLineChars="221"/>
        <w:jc w:val="left"/>
        <w:rPr>
          <w:rFonts w:ascii="仿宋_GB2312" w:hAnsi="Times New Roman" w:eastAsia="仿宋_GB2312" w:cs="楷体_GB2312"/>
          <w:color w:val="auto"/>
          <w:sz w:val="32"/>
          <w:szCs w:val="32"/>
          <w:u w:val="none"/>
        </w:rPr>
      </w:pPr>
      <w:r>
        <w:rPr>
          <w:rFonts w:ascii="仿宋_GB2312" w:hAnsi="Times New Roman" w:eastAsia="仿宋_GB2312" w:cs="楷体_GB2312"/>
          <w:color w:val="auto"/>
          <w:sz w:val="32"/>
          <w:szCs w:val="32"/>
          <w:u w:val="none"/>
        </w:rPr>
        <w:t>此致</w:t>
      </w:r>
    </w:p>
    <w:p>
      <w:pPr>
        <w:spacing w:line="480" w:lineRule="exact"/>
        <w:jc w:val="left"/>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福建省高级人民法院</w:t>
      </w:r>
    </w:p>
    <w:p>
      <w:pPr>
        <w:spacing w:line="480" w:lineRule="exact"/>
        <w:ind w:firstLine="640" w:firstLineChars="200"/>
        <w:jc w:val="left"/>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附件：⒈罪犯</w:t>
      </w:r>
      <w:r>
        <w:rPr>
          <w:rFonts w:hint="eastAsia" w:ascii="仿宋_GB2312" w:hAnsi="仿宋_GB2312" w:eastAsia="仿宋_GB2312" w:cs="仿宋_GB2312"/>
          <w:color w:val="auto"/>
          <w:sz w:val="32"/>
          <w:szCs w:val="32"/>
          <w:u w:val="none"/>
          <w:lang w:eastAsia="zh-CN"/>
        </w:rPr>
        <w:t>梁家春</w:t>
      </w:r>
      <w:r>
        <w:rPr>
          <w:rFonts w:hint="eastAsia" w:ascii="仿宋_GB2312" w:hAnsi="仿宋_GB2312" w:eastAsia="仿宋_GB2312" w:cs="仿宋_GB2312"/>
          <w:color w:val="auto"/>
          <w:sz w:val="32"/>
          <w:szCs w:val="32"/>
          <w:u w:val="none"/>
        </w:rPr>
        <w:t>卷宗</w:t>
      </w:r>
      <w:r>
        <w:rPr>
          <w:rFonts w:hint="eastAsia" w:ascii="仿宋_GB2312" w:hAnsi="仿宋_GB2312" w:eastAsia="仿宋_GB2312" w:cs="仿宋_GB2312"/>
          <w:color w:val="auto"/>
          <w:sz w:val="32"/>
          <w:szCs w:val="32"/>
          <w:u w:val="none"/>
          <w:lang w:eastAsia="zh-CN"/>
        </w:rPr>
        <w:t>二</w:t>
      </w:r>
      <w:r>
        <w:rPr>
          <w:rFonts w:hint="eastAsia" w:ascii="仿宋_GB2312" w:hAnsi="仿宋_GB2312" w:eastAsia="仿宋_GB2312" w:cs="仿宋_GB2312"/>
          <w:color w:val="auto"/>
          <w:sz w:val="32"/>
          <w:szCs w:val="32"/>
          <w:u w:val="none"/>
        </w:rPr>
        <w:t>册</w:t>
      </w:r>
    </w:p>
    <w:p>
      <w:pPr>
        <w:spacing w:line="480" w:lineRule="exact"/>
        <w:ind w:right="-48" w:rightChars="-15" w:firstLine="1600" w:firstLineChars="50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⒉减刑建议书</w:t>
      </w:r>
      <w:r>
        <w:rPr>
          <w:rFonts w:hint="eastAsia" w:ascii="仿宋_GB2312" w:hAnsi="仿宋_GB2312" w:eastAsia="仿宋_GB2312" w:cs="仿宋_GB2312"/>
          <w:color w:val="auto"/>
          <w:sz w:val="32"/>
          <w:szCs w:val="32"/>
          <w:u w:val="none"/>
          <w:lang w:eastAsia="zh-CN"/>
        </w:rPr>
        <w:t>五</w:t>
      </w:r>
      <w:r>
        <w:rPr>
          <w:rFonts w:hint="eastAsia" w:ascii="仿宋_GB2312" w:hAnsi="仿宋_GB2312" w:eastAsia="仿宋_GB2312" w:cs="仿宋_GB2312"/>
          <w:color w:val="auto"/>
          <w:sz w:val="32"/>
          <w:szCs w:val="32"/>
          <w:u w:val="none"/>
        </w:rPr>
        <w:t>份</w:t>
      </w:r>
    </w:p>
    <w:p>
      <w:pPr>
        <w:spacing w:line="480" w:lineRule="exact"/>
        <w:ind w:right="-48" w:rightChars="-15" w:firstLine="1600" w:firstLineChars="500"/>
        <w:jc w:val="left"/>
        <w:rPr>
          <w:rFonts w:hint="eastAsia" w:ascii="仿宋_GB2312" w:hAnsi="仿宋_GB2312" w:eastAsia="仿宋_GB2312" w:cs="仿宋_GB2312"/>
          <w:color w:val="auto"/>
          <w:sz w:val="32"/>
          <w:szCs w:val="32"/>
          <w:u w:val="none"/>
        </w:rPr>
      </w:pPr>
    </w:p>
    <w:p>
      <w:pPr>
        <w:spacing w:line="480" w:lineRule="exact"/>
        <w:ind w:right="-48" w:rightChars="-15" w:firstLine="1600" w:firstLineChars="500"/>
        <w:jc w:val="left"/>
        <w:rPr>
          <w:rFonts w:hint="eastAsia" w:ascii="仿宋_GB2312" w:hAnsi="仿宋_GB2312" w:eastAsia="仿宋_GB2312" w:cs="仿宋_GB2312"/>
          <w:color w:val="auto"/>
          <w:sz w:val="32"/>
          <w:szCs w:val="32"/>
          <w:u w:val="none"/>
        </w:rPr>
      </w:pPr>
    </w:p>
    <w:p>
      <w:pPr>
        <w:spacing w:line="480" w:lineRule="exact"/>
        <w:ind w:right="509" w:rightChars="159" w:firstLine="614" w:firstLineChars="192"/>
        <w:jc w:val="right"/>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福建省漳州监狱 </w:t>
      </w:r>
    </w:p>
    <w:p>
      <w:pPr>
        <w:pStyle w:val="9"/>
        <w:keepNext w:val="0"/>
        <w:keepLines w:val="0"/>
        <w:pageBreakBefore w:val="0"/>
        <w:widowControl w:val="0"/>
        <w:kinsoku/>
        <w:wordWrap/>
        <w:overflowPunct/>
        <w:topLinePunct w:val="0"/>
        <w:autoSpaceDE/>
        <w:autoSpaceDN/>
        <w:bidi w:val="0"/>
        <w:adjustRightInd/>
        <w:spacing w:line="240" w:lineRule="auto"/>
        <w:ind w:left="0" w:leftChars="0" w:firstLine="0" w:firstLineChars="0"/>
        <w:jc w:val="both"/>
        <w:textAlignment w:val="auto"/>
        <w:rPr>
          <w:rFonts w:hint="eastAsia" w:eastAsia="楷体_GB2312" w:cs="楷体_GB2312"/>
          <w:szCs w:val="32"/>
          <w:lang w:eastAsia="zh-CN"/>
        </w:rPr>
      </w:pPr>
      <w:r>
        <w:rPr>
          <w:rFonts w:hint="eastAsia" w:ascii="仿宋_GB2312" w:hAnsi="仿宋_GB2312" w:eastAsia="仿宋_GB2312" w:cs="仿宋_GB2312"/>
          <w:color w:val="auto"/>
          <w:sz w:val="32"/>
          <w:szCs w:val="32"/>
          <w:u w:val="none"/>
        </w:rPr>
        <w:t xml:space="preserve">  </w:t>
      </w:r>
      <w:r>
        <w:rPr>
          <w:rFonts w:hint="eastAsia" w:ascii="仿宋_GB2312" w:hAnsi="仿宋_GB2312" w:cs="仿宋_GB2312"/>
          <w:color w:val="auto"/>
          <w:sz w:val="32"/>
          <w:szCs w:val="32"/>
          <w:u w:val="none"/>
          <w:lang w:val="en-US" w:eastAsia="zh-CN"/>
        </w:rPr>
        <w:t xml:space="preserve">                                </w:t>
      </w:r>
      <w:r>
        <w:rPr>
          <w:rFonts w:hint="eastAsia" w:ascii="仿宋_GB2312" w:hAnsi="仿宋_GB2312" w:eastAsia="仿宋_GB2312" w:cs="仿宋_GB2312"/>
          <w:color w:val="auto"/>
          <w:sz w:val="32"/>
          <w:szCs w:val="32"/>
          <w:u w:val="none"/>
          <w:lang w:val="en-US" w:eastAsia="zh-CN"/>
        </w:rPr>
        <w:t>2025</w:t>
      </w:r>
      <w:r>
        <w:rPr>
          <w:rFonts w:ascii="仿宋_GB2312" w:hAnsi="仿宋_GB2312" w:eastAsia="仿宋_GB2312" w:cs="仿宋_GB2312"/>
          <w:color w:val="auto"/>
          <w:sz w:val="32"/>
          <w:szCs w:val="32"/>
          <w:u w:val="none"/>
        </w:rPr>
        <w:t>年</w:t>
      </w:r>
      <w:r>
        <w:rPr>
          <w:rFonts w:hint="eastAsia" w:ascii="仿宋_GB2312" w:hAnsi="仿宋_GB2312" w:eastAsia="仿宋_GB2312" w:cs="仿宋_GB2312"/>
          <w:color w:val="auto"/>
          <w:sz w:val="32"/>
          <w:szCs w:val="32"/>
          <w:u w:val="none"/>
          <w:lang w:val="en-US" w:eastAsia="zh-CN"/>
        </w:rPr>
        <w:t>6</w:t>
      </w:r>
      <w:r>
        <w:rPr>
          <w:rFonts w:ascii="仿宋_GB2312" w:hAnsi="仿宋_GB2312" w:eastAsia="仿宋_GB2312" w:cs="仿宋_GB2312"/>
          <w:color w:val="auto"/>
          <w:sz w:val="32"/>
          <w:szCs w:val="32"/>
          <w:u w:val="none"/>
        </w:rPr>
        <w:t>月</w:t>
      </w:r>
      <w:r>
        <w:rPr>
          <w:rFonts w:hint="eastAsia" w:ascii="仿宋_GB2312" w:hAnsi="仿宋_GB2312" w:eastAsia="仿宋_GB2312" w:cs="仿宋_GB2312"/>
          <w:color w:val="auto"/>
          <w:sz w:val="32"/>
          <w:szCs w:val="32"/>
          <w:u w:val="none"/>
          <w:lang w:val="en-US" w:eastAsia="zh-CN"/>
        </w:rPr>
        <w:t>30</w:t>
      </w:r>
      <w:r>
        <w:rPr>
          <w:rFonts w:ascii="仿宋_GB2312" w:hAnsi="仿宋_GB2312" w:eastAsia="仿宋_GB2312" w:cs="仿宋_GB2312"/>
          <w:color w:val="auto"/>
          <w:sz w:val="32"/>
          <w:szCs w:val="32"/>
          <w:u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66F0"/>
    <w:rsid w:val="00040D1F"/>
    <w:rsid w:val="000910CE"/>
    <w:rsid w:val="000B24B2"/>
    <w:rsid w:val="000D089D"/>
    <w:rsid w:val="0010570A"/>
    <w:rsid w:val="00125788"/>
    <w:rsid w:val="001359E6"/>
    <w:rsid w:val="00165CB0"/>
    <w:rsid w:val="001C2201"/>
    <w:rsid w:val="001C6165"/>
    <w:rsid w:val="001D1FFF"/>
    <w:rsid w:val="00201852"/>
    <w:rsid w:val="00202400"/>
    <w:rsid w:val="00220616"/>
    <w:rsid w:val="00246AAF"/>
    <w:rsid w:val="002C1CF2"/>
    <w:rsid w:val="002D261F"/>
    <w:rsid w:val="00300F2C"/>
    <w:rsid w:val="00321902"/>
    <w:rsid w:val="0034096E"/>
    <w:rsid w:val="00356D24"/>
    <w:rsid w:val="003C59AC"/>
    <w:rsid w:val="003F0732"/>
    <w:rsid w:val="004147EB"/>
    <w:rsid w:val="0044482F"/>
    <w:rsid w:val="004A47D0"/>
    <w:rsid w:val="004D086A"/>
    <w:rsid w:val="0056091F"/>
    <w:rsid w:val="005B2349"/>
    <w:rsid w:val="005D65C1"/>
    <w:rsid w:val="005E7E75"/>
    <w:rsid w:val="00601D24"/>
    <w:rsid w:val="00691687"/>
    <w:rsid w:val="006A63F8"/>
    <w:rsid w:val="00717439"/>
    <w:rsid w:val="00791DCE"/>
    <w:rsid w:val="00831860"/>
    <w:rsid w:val="00846799"/>
    <w:rsid w:val="008C57FE"/>
    <w:rsid w:val="009141B6"/>
    <w:rsid w:val="0091471F"/>
    <w:rsid w:val="00927F9B"/>
    <w:rsid w:val="00943AD0"/>
    <w:rsid w:val="0094451B"/>
    <w:rsid w:val="0096455C"/>
    <w:rsid w:val="00984FAB"/>
    <w:rsid w:val="009C68A3"/>
    <w:rsid w:val="00A47728"/>
    <w:rsid w:val="00A875FF"/>
    <w:rsid w:val="00AB3592"/>
    <w:rsid w:val="00AD0494"/>
    <w:rsid w:val="00AD3AC7"/>
    <w:rsid w:val="00AE375A"/>
    <w:rsid w:val="00B317E7"/>
    <w:rsid w:val="00B566F0"/>
    <w:rsid w:val="00B823FB"/>
    <w:rsid w:val="00B94F18"/>
    <w:rsid w:val="00C00144"/>
    <w:rsid w:val="00C05381"/>
    <w:rsid w:val="00C1652D"/>
    <w:rsid w:val="00C1692F"/>
    <w:rsid w:val="00CC5737"/>
    <w:rsid w:val="00D07B7A"/>
    <w:rsid w:val="00D81DD2"/>
    <w:rsid w:val="00E0645B"/>
    <w:rsid w:val="00E25738"/>
    <w:rsid w:val="00E71278"/>
    <w:rsid w:val="00EB3B84"/>
    <w:rsid w:val="00EE4C5B"/>
    <w:rsid w:val="00FE4A02"/>
    <w:rsid w:val="036A5E04"/>
    <w:rsid w:val="075546F5"/>
    <w:rsid w:val="078C6784"/>
    <w:rsid w:val="0B032DBB"/>
    <w:rsid w:val="0C6E1544"/>
    <w:rsid w:val="0E9D39B7"/>
    <w:rsid w:val="0EEF0183"/>
    <w:rsid w:val="1219101B"/>
    <w:rsid w:val="12DB2CF7"/>
    <w:rsid w:val="15D93A3C"/>
    <w:rsid w:val="1B7C3D38"/>
    <w:rsid w:val="1C595CF1"/>
    <w:rsid w:val="1D453D13"/>
    <w:rsid w:val="1D9F06D7"/>
    <w:rsid w:val="1FE03E2B"/>
    <w:rsid w:val="2027184D"/>
    <w:rsid w:val="2114237A"/>
    <w:rsid w:val="22B155AE"/>
    <w:rsid w:val="23212818"/>
    <w:rsid w:val="2626689D"/>
    <w:rsid w:val="27B22717"/>
    <w:rsid w:val="2A3B64D2"/>
    <w:rsid w:val="2C3550D4"/>
    <w:rsid w:val="2EAF0314"/>
    <w:rsid w:val="310006C2"/>
    <w:rsid w:val="317C2C76"/>
    <w:rsid w:val="31DC6C3C"/>
    <w:rsid w:val="35922F75"/>
    <w:rsid w:val="366E10CC"/>
    <w:rsid w:val="371643C5"/>
    <w:rsid w:val="39864127"/>
    <w:rsid w:val="39C1344E"/>
    <w:rsid w:val="3A0B4CAB"/>
    <w:rsid w:val="3B02271A"/>
    <w:rsid w:val="3C835306"/>
    <w:rsid w:val="3D42560E"/>
    <w:rsid w:val="3D5A65CA"/>
    <w:rsid w:val="3E6F1DEE"/>
    <w:rsid w:val="3EF041C9"/>
    <w:rsid w:val="3FE17A60"/>
    <w:rsid w:val="40307287"/>
    <w:rsid w:val="40D516CD"/>
    <w:rsid w:val="41E940B3"/>
    <w:rsid w:val="42A47A82"/>
    <w:rsid w:val="44B71804"/>
    <w:rsid w:val="450155C4"/>
    <w:rsid w:val="453271AB"/>
    <w:rsid w:val="459A0768"/>
    <w:rsid w:val="471D6BB8"/>
    <w:rsid w:val="496D5C2E"/>
    <w:rsid w:val="4A024AA2"/>
    <w:rsid w:val="4B745E6C"/>
    <w:rsid w:val="4B897A7D"/>
    <w:rsid w:val="4E1B5A61"/>
    <w:rsid w:val="500C5BAE"/>
    <w:rsid w:val="50FF64A6"/>
    <w:rsid w:val="58AB0C8B"/>
    <w:rsid w:val="58FE48D4"/>
    <w:rsid w:val="59C11342"/>
    <w:rsid w:val="622C03DE"/>
    <w:rsid w:val="6391562E"/>
    <w:rsid w:val="68DF072D"/>
    <w:rsid w:val="6A0A5681"/>
    <w:rsid w:val="6A5C5FF0"/>
    <w:rsid w:val="6DC60AD6"/>
    <w:rsid w:val="6FFD5DDE"/>
    <w:rsid w:val="70013651"/>
    <w:rsid w:val="72210150"/>
    <w:rsid w:val="77E34CC3"/>
    <w:rsid w:val="79BB7B32"/>
    <w:rsid w:val="7BAC215F"/>
    <w:rsid w:val="7CF73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99"/>
    <w:rPr>
      <w:rFonts w:ascii="Times New Roman" w:hAnsi="Times New Roman"/>
    </w:rPr>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4">
    <w:name w:val="header"/>
    <w:basedOn w:val="1"/>
    <w:link w:val="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qFormat/>
    <w:uiPriority w:val="0"/>
    <w:rPr>
      <w:sz w:val="18"/>
      <w:szCs w:val="18"/>
    </w:rPr>
  </w:style>
  <w:style w:type="character" w:customStyle="1" w:styleId="8">
    <w:name w:val="页脚 Char"/>
    <w:basedOn w:val="6"/>
    <w:link w:val="3"/>
    <w:semiHidden/>
    <w:qFormat/>
    <w:uiPriority w:val="99"/>
    <w:rPr>
      <w:sz w:val="18"/>
      <w:szCs w:val="18"/>
    </w:rPr>
  </w:style>
  <w:style w:type="paragraph" w:customStyle="1" w:styleId="9">
    <w:name w:val="列表段落1"/>
    <w:basedOn w:val="1"/>
    <w:qFormat/>
    <w:uiPriority w:val="99"/>
    <w:pPr>
      <w:ind w:firstLine="420" w:firstLineChars="200"/>
    </w:pPr>
    <w:rPr>
      <w:rFonts w:ascii="Times New Roman" w:hAnsi="Times New Roman"/>
    </w:rPr>
  </w:style>
  <w:style w:type="character" w:customStyle="1" w:styleId="10">
    <w:name w:val="称呼 Char"/>
    <w:basedOn w:val="6"/>
    <w:link w:val="2"/>
    <w:qFormat/>
    <w:uiPriority w:val="99"/>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157</Words>
  <Characters>901</Characters>
  <Lines>7</Lines>
  <Paragraphs>2</Paragraphs>
  <TotalTime>6</TotalTime>
  <ScaleCrop>false</ScaleCrop>
  <LinksUpToDate>false</LinksUpToDate>
  <CharactersWithSpaces>1056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2024-02-22T07:00:00Z</dcterms:created>
  <dc:creator>Administrator</dc:creator>
  <cp:lastModifiedBy>陈李秋</cp:lastModifiedBy>
  <cp:lastPrinted>2024-09-09T08:16:00Z</cp:lastPrinted>
  <dcterms:modified xsi:type="dcterms:W3CDTF">2025-06-30T02:10:41Z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60A6E46C6C414CF998BADBF1EE85BE0B</vt:lpwstr>
  </property>
</Properties>
</file>