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wordWrap w:val="0"/>
        <w:jc w:val="right"/>
        <w:rPr>
          <w:rFonts w:ascii="楷体_GB2312" w:hAnsi="华文仿宋" w:eastAsia="楷体_GB2312" w:cs="楷体_GB2312"/>
          <w:szCs w:val="32"/>
        </w:rPr>
      </w:pPr>
      <w:r>
        <w:rPr>
          <w:rFonts w:hint="eastAsia" w:ascii="楷体_GB2312" w:hAnsi="华文仿宋" w:eastAsia="楷体_GB2312" w:cs="楷体_GB2312"/>
          <w:szCs w:val="32"/>
        </w:rPr>
        <w:t>〔202</w:t>
      </w:r>
      <w:r>
        <w:rPr>
          <w:rFonts w:hint="eastAsia" w:ascii="楷体_GB2312" w:hAnsi="华文仿宋" w:eastAsia="楷体_GB2312" w:cs="楷体_GB2312"/>
          <w:szCs w:val="32"/>
          <w:lang w:val="en-US" w:eastAsia="zh-CN"/>
        </w:rPr>
        <w:t>5</w:t>
      </w:r>
      <w:r>
        <w:rPr>
          <w:rFonts w:hint="eastAsia" w:ascii="楷体_GB2312" w:hAnsi="华文仿宋" w:eastAsia="楷体_GB2312" w:cs="楷体_GB2312"/>
          <w:szCs w:val="32"/>
        </w:rPr>
        <w:t>〕闽漳狱减字第</w:t>
      </w:r>
      <w:r>
        <w:rPr>
          <w:rFonts w:hint="eastAsia" w:ascii="楷体_GB2312" w:hAnsi="华文仿宋" w:eastAsia="楷体_GB2312" w:cs="楷体_GB2312"/>
          <w:szCs w:val="32"/>
          <w:lang w:val="en-US" w:eastAsia="zh-CN"/>
        </w:rPr>
        <w:t>4021</w:t>
      </w:r>
      <w:r>
        <w:rPr>
          <w:rFonts w:hint="eastAsia" w:ascii="楷体_GB2312" w:hAnsi="华文仿宋"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罪犯简进堂，男，1981年2月10日出生，汉族，初中文化，户籍所在地福建省龙岩市永定区</w:t>
      </w:r>
      <w:bookmarkStart w:id="0" w:name="_GoBack"/>
      <w:bookmarkEnd w:id="0"/>
      <w:r>
        <w:rPr>
          <w:rFonts w:hint="eastAsia" w:ascii="仿宋_GB2312" w:hAnsi="Times New Roman" w:eastAsia="仿宋_GB2312" w:cs="楷体_GB2312"/>
          <w:sz w:val="32"/>
          <w:szCs w:val="32"/>
        </w:rPr>
        <w:t>，捕前系农民。</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Times New Roman" w:eastAsia="仿宋_GB2312" w:cs="楷体_GB2312"/>
          <w:sz w:val="32"/>
          <w:szCs w:val="32"/>
        </w:rPr>
        <w:t>福建省厦门市中级人民法院于2020年7月16日作出(2019)闽02刑初27号刑事判决，以被告人简进堂犯贩卖毒品罪，判处无期徒刑，剥夺政治权利终身，并处没收个人全部财产；犯非法拘禁罪，判处有期徒刑二年二个月；犯故意伤害罪，判处有期徒刑一年三个月；犯容留他人吸毒罪，判处有期徒刑一年，并处罚金人民币1000元。数罪并罚，决定执行无期徒刑，剥夺政治权利终身，并处没收个人全部财产，追缴违法所得人民币20000元</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暂扣</w:t>
      </w:r>
      <w:r>
        <w:rPr>
          <w:rFonts w:hint="eastAsia" w:ascii="仿宋_GB2312" w:hAnsi="Times New Roman" w:eastAsia="仿宋_GB2312" w:cs="楷体_GB2312"/>
          <w:sz w:val="32"/>
          <w:szCs w:val="32"/>
          <w:lang w:eastAsia="zh-CN"/>
        </w:rPr>
        <w:t>于龙岩市公安局新罗分局的被告人简进堂</w:t>
      </w:r>
      <w:r>
        <w:rPr>
          <w:rFonts w:hint="eastAsia" w:ascii="仿宋_GB2312" w:hAnsi="Times New Roman" w:eastAsia="仿宋_GB2312" w:cs="楷体_GB2312"/>
          <w:sz w:val="32"/>
          <w:szCs w:val="32"/>
        </w:rPr>
        <w:t>的现金人民币18900元</w:t>
      </w:r>
      <w:r>
        <w:rPr>
          <w:rFonts w:hint="eastAsia" w:ascii="仿宋_GB2312" w:hAnsi="Times New Roman" w:eastAsia="仿宋_GB2312" w:cs="楷体_GB2312"/>
          <w:sz w:val="32"/>
          <w:szCs w:val="32"/>
          <w:lang w:eastAsia="zh-CN"/>
        </w:rPr>
        <w:t>，依法</w:t>
      </w:r>
      <w:r>
        <w:rPr>
          <w:rFonts w:hint="eastAsia" w:ascii="仿宋_GB2312" w:hAnsi="Times New Roman" w:eastAsia="仿宋_GB2312" w:cs="楷体_GB2312"/>
          <w:sz w:val="32"/>
          <w:szCs w:val="32"/>
        </w:rPr>
        <w:t>用于执行</w:t>
      </w:r>
      <w:r>
        <w:rPr>
          <w:rFonts w:hint="eastAsia" w:ascii="仿宋_GB2312" w:hAnsi="Times New Roman" w:eastAsia="仿宋_GB2312" w:cs="楷体_GB2312"/>
          <w:sz w:val="32"/>
          <w:szCs w:val="32"/>
          <w:lang w:eastAsia="zh-CN"/>
        </w:rPr>
        <w:t>向简进堂</w:t>
      </w:r>
      <w:r>
        <w:rPr>
          <w:rFonts w:hint="eastAsia" w:ascii="仿宋_GB2312" w:hAnsi="Times New Roman" w:eastAsia="仿宋_GB2312" w:cs="楷体_GB2312"/>
          <w:sz w:val="32"/>
          <w:szCs w:val="32"/>
        </w:rPr>
        <w:t>追缴违法所得部分</w:t>
      </w:r>
      <w:r>
        <w:rPr>
          <w:rFonts w:hint="eastAsia" w:ascii="仿宋_GB2312" w:hAnsi="Times New Roman" w:eastAsia="仿宋_GB2312" w:cs="楷体_GB2312"/>
          <w:sz w:val="32"/>
          <w:szCs w:val="32"/>
          <w:lang w:eastAsia="zh-CN"/>
        </w:rPr>
        <w:t>，不足部分继续追缴</w:t>
      </w:r>
      <w:r>
        <w:rPr>
          <w:rFonts w:hint="eastAsia" w:ascii="仿宋_GB2312" w:hAnsi="Times New Roman" w:eastAsia="仿宋_GB2312" w:cs="楷体_GB2312"/>
          <w:sz w:val="32"/>
          <w:szCs w:val="32"/>
        </w:rPr>
        <w:t>。宣判后，同案犯不服，提出上诉</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福建省高级人民法院于2021年5月18日作出(2020)闽刑终228号刑事裁定，驳回抗诉和上诉，维持原判。于2021年6月16日交付漳州监狱执行刑罚。属普管级罪犯。</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Times New Roman" w:eastAsia="仿宋_GB2312" w:cs="楷体_GB2312"/>
          <w:sz w:val="32"/>
          <w:szCs w:val="32"/>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Times New Roman" w:eastAsia="仿宋_GB2312" w:cs="楷体_GB2312"/>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Times New Roman" w:eastAsia="仿宋_GB2312" w:cs="楷体_GB2312"/>
          <w:sz w:val="32"/>
          <w:szCs w:val="32"/>
        </w:rPr>
        <w:t>遵守监规：该犯考核期内虽有违规，但经民警教育后，能认识到错误，有悔改表现，本次提请前能遵守法律法规及监规纪律，接受教育改造。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Times New Roman" w:eastAsia="仿宋_GB2312" w:cs="楷体_GB2312"/>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Times New Roman" w:eastAsia="仿宋_GB2312" w:cs="楷体_GB231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奖惩情况：该犯考核期2021年6月16日至2025年3月累计获考核分4667.5分，表扬6次，物质奖励1次；考核期内违规3次，累计扣考核分6分，无重大违规。</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hint="default" w:ascii="仿宋_GB2312" w:hAnsi="Times New Roman" w:eastAsia="仿宋_GB2312" w:cs="楷体_GB2312"/>
          <w:sz w:val="32"/>
          <w:szCs w:val="32"/>
          <w:lang w:val="en-US" w:eastAsia="zh-CN"/>
        </w:rPr>
      </w:pPr>
      <w:r>
        <w:rPr>
          <w:rFonts w:hint="eastAsia" w:ascii="仿宋_GB2312" w:hAnsi="Times New Roman" w:eastAsia="仿宋_GB2312" w:cs="楷体_GB2312"/>
          <w:sz w:val="32"/>
          <w:szCs w:val="32"/>
        </w:rPr>
        <w:t>原判财产性判项已履行人民币</w:t>
      </w:r>
      <w:r>
        <w:rPr>
          <w:rFonts w:hint="eastAsia" w:ascii="仿宋_GB2312" w:hAnsi="Times New Roman" w:eastAsia="仿宋_GB2312" w:cs="楷体_GB2312"/>
          <w:sz w:val="32"/>
          <w:szCs w:val="32"/>
          <w:lang w:val="en-US" w:eastAsia="zh-CN"/>
        </w:rPr>
        <w:t>21124</w:t>
      </w:r>
      <w:r>
        <w:rPr>
          <w:rFonts w:hint="eastAsia" w:ascii="仿宋_GB2312" w:hAnsi="Times New Roman" w:eastAsia="仿宋_GB2312" w:cs="楷体_GB2312"/>
          <w:sz w:val="32"/>
          <w:szCs w:val="32"/>
        </w:rPr>
        <w:t>元，其中本次提请向福建省厦门市中级人民法院缴纳追缴违法所得人民币1100元</w:t>
      </w:r>
      <w:r>
        <w:rPr>
          <w:rFonts w:hint="eastAsia" w:ascii="仿宋_GB2312" w:hAnsi="Times New Roman" w:eastAsia="仿宋_GB2312" w:cs="楷体_GB2312"/>
          <w:sz w:val="32"/>
          <w:szCs w:val="32"/>
          <w:lang w:eastAsia="zh-CN"/>
        </w:rPr>
        <w:t>，没收个人全部财产履行</w:t>
      </w:r>
      <w:r>
        <w:rPr>
          <w:rFonts w:hint="eastAsia" w:ascii="仿宋_GB2312" w:hAnsi="Times New Roman" w:eastAsia="仿宋_GB2312" w:cs="楷体_GB2312"/>
          <w:sz w:val="32"/>
          <w:szCs w:val="32"/>
          <w:lang w:val="en-US" w:eastAsia="zh-CN"/>
        </w:rPr>
        <w:t>1000元</w:t>
      </w:r>
      <w:r>
        <w:rPr>
          <w:rFonts w:hint="eastAsia" w:ascii="仿宋_GB2312" w:hAnsi="Times New Roman" w:eastAsia="仿宋_GB2312" w:cs="楷体_GB2312"/>
          <w:sz w:val="32"/>
          <w:szCs w:val="32"/>
        </w:rPr>
        <w:t>。该犯考核期月均消费人民币</w:t>
      </w:r>
      <w:r>
        <w:rPr>
          <w:rFonts w:hint="eastAsia" w:ascii="仿宋_GB2312" w:hAnsi="Times New Roman" w:eastAsia="仿宋_GB2312" w:cs="楷体_GB2312"/>
          <w:sz w:val="32"/>
          <w:szCs w:val="32"/>
          <w:lang w:val="en-US" w:eastAsia="zh-CN"/>
        </w:rPr>
        <w:t>262.48</w:t>
      </w:r>
      <w:r>
        <w:rPr>
          <w:rFonts w:hint="eastAsia" w:ascii="仿宋_GB2312" w:hAnsi="Times New Roman" w:eastAsia="仿宋_GB2312" w:cs="楷体_GB2312"/>
          <w:sz w:val="32"/>
          <w:szCs w:val="32"/>
        </w:rPr>
        <w:t>元（注：不包括购买药品、报刊书籍等费用），账户可用余额人民币861.25元。2025年2月25日福建省厦门市中级人民法院财产性判项复函载明：未能查到被执行人简进堂有其余刑事裁判生效前所有的财产可供执行。</w:t>
      </w:r>
      <w:r>
        <w:rPr>
          <w:rFonts w:hint="eastAsia" w:ascii="仿宋_GB2312" w:hAnsi="Times New Roman" w:eastAsia="仿宋_GB2312" w:cs="楷体_GB2312"/>
          <w:sz w:val="32"/>
          <w:szCs w:val="32"/>
          <w:lang w:eastAsia="zh-CN"/>
        </w:rPr>
        <w:t>被执行人简进堂追缴违法所得人民币</w:t>
      </w:r>
      <w:r>
        <w:rPr>
          <w:rFonts w:hint="eastAsia" w:ascii="仿宋_GB2312" w:hAnsi="Times New Roman" w:eastAsia="仿宋_GB2312" w:cs="楷体_GB2312"/>
          <w:sz w:val="32"/>
          <w:szCs w:val="32"/>
          <w:lang w:val="en-US" w:eastAsia="zh-CN"/>
        </w:rPr>
        <w:t>20000元已执行完毕。本案在执行阶段未发现拒不交代赃款、赃物去向情节；尚未发现隐瞒、藏匿、转移财产情节；尚未发现存在妨害财产性判项执行情节；尚未发现存在拒不交代申报或者虚假申报财产情况的情节。</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该犯系数罪并罚被判处无期徒刑的罪犯，属于从严掌握减刑对象。</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cs="楷体_GB2312"/>
          <w:sz w:val="32"/>
          <w:szCs w:val="32"/>
          <w:lang w:eastAsia="zh-CN"/>
        </w:rPr>
        <w:t>2025年6月20日至2025年6月26日</w:t>
      </w:r>
      <w:r>
        <w:rPr>
          <w:rFonts w:hint="eastAsia" w:ascii="仿宋_GB2312" w:hAnsi="Times New Roman" w:eastAsia="仿宋_GB2312" w:cs="楷体_GB2312"/>
          <w:sz w:val="32"/>
          <w:szCs w:val="32"/>
        </w:rPr>
        <w:t>在狱内公示未收到不同意见。</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仿宋_GB2312" w:eastAsia="仿宋_GB2312" w:cs="仿宋_GB2312"/>
          <w:sz w:val="32"/>
          <w:szCs w:val="32"/>
        </w:rPr>
        <w:t>因此，依照《中华人民共和国刑法》第五十七条、第七十八条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《中华人民共和国刑事诉讼法》第二百七十三条第二款和《中华人民共和国监狱法》第二十九条规定，建议对罪犯简进堂的刑罚减为有期徒刑二十二年，剥夺政治权利终身改为十年。特提请你院审理裁定</w:t>
      </w:r>
      <w:r>
        <w:rPr>
          <w:rFonts w:hint="eastAsia" w:ascii="仿宋_GB2312" w:hAnsi="Times New Roman" w:eastAsia="仿宋_GB2312" w:cs="楷体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707" w:firstLineChars="221"/>
        <w:jc w:val="left"/>
        <w:textAlignment w:val="auto"/>
        <w:rPr>
          <w:rFonts w:ascii="仿宋_GB2312" w:hAnsi="Times New Roman" w:cs="楷体_GB2312"/>
          <w:sz w:val="32"/>
          <w:szCs w:val="32"/>
        </w:rPr>
      </w:pPr>
      <w:r>
        <w:rPr>
          <w:rFonts w:hint="eastAsia" w:ascii="仿宋_GB2312" w:hAnsi="Times New Roman" w:eastAsia="仿宋_GB2312" w:cs="楷体_GB2312"/>
          <w:sz w:val="32"/>
          <w:szCs w:val="32"/>
        </w:rPr>
        <w:t>此致</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仿宋_GB2312" w:hAnsi="仿宋_GB2312" w:cs="仿宋_GB2312"/>
          <w:sz w:val="32"/>
          <w:szCs w:val="32"/>
        </w:rPr>
      </w:pPr>
      <w:r>
        <w:rPr>
          <w:rFonts w:hint="eastAsia" w:ascii="仿宋_GB2312" w:hAnsi="仿宋_GB2312" w:eastAsia="仿宋_GB2312" w:cs="仿宋_GB2312"/>
          <w:sz w:val="32"/>
          <w:szCs w:val="32"/>
        </w:rPr>
        <w:t>福建省高级人民法院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_GB2312" w:hAnsi="仿宋_GB2312" w:cs="仿宋_GB2312"/>
          <w:sz w:val="32"/>
          <w:szCs w:val="32"/>
        </w:rPr>
      </w:pPr>
      <w:r>
        <w:rPr>
          <w:rFonts w:hint="eastAsia" w:ascii="仿宋_GB2312" w:hAnsi="仿宋_GB2312" w:eastAsia="仿宋_GB2312" w:cs="仿宋_GB2312"/>
          <w:sz w:val="32"/>
          <w:szCs w:val="32"/>
        </w:rPr>
        <w:t>附件：⒈罪犯简进堂卷宗二册</w:t>
      </w:r>
    </w:p>
    <w:p>
      <w:pPr>
        <w:keepNext w:val="0"/>
        <w:keepLines w:val="0"/>
        <w:pageBreakBefore w:val="0"/>
        <w:widowControl w:val="0"/>
        <w:kinsoku/>
        <w:wordWrap/>
        <w:overflowPunct/>
        <w:topLinePunct w:val="0"/>
        <w:autoSpaceDE/>
        <w:autoSpaceDN/>
        <w:bidi w:val="0"/>
        <w:adjustRightInd/>
        <w:snapToGrid/>
        <w:spacing w:line="600" w:lineRule="exact"/>
        <w:ind w:right="-48" w:rightChars="-15" w:firstLine="1600" w:firstLineChars="5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⒉减刑建议书五份</w:t>
      </w:r>
    </w:p>
    <w:p>
      <w:pPr>
        <w:keepNext w:val="0"/>
        <w:keepLines w:val="0"/>
        <w:pageBreakBefore w:val="0"/>
        <w:widowControl w:val="0"/>
        <w:kinsoku/>
        <w:wordWrap/>
        <w:overflowPunct/>
        <w:topLinePunct w:val="0"/>
        <w:autoSpaceDE/>
        <w:autoSpaceDN/>
        <w:bidi w:val="0"/>
        <w:adjustRightInd/>
        <w:snapToGrid/>
        <w:spacing w:line="600" w:lineRule="exact"/>
        <w:ind w:right="-48" w:rightChars="-15" w:firstLine="1600" w:firstLineChars="5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14" w:rightChars="0" w:firstLine="614" w:firstLineChars="192"/>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 xml:space="preserve">                          福建省漳州监狱</w:t>
      </w:r>
    </w:p>
    <w:p>
      <w:pPr>
        <w:keepNext w:val="0"/>
        <w:keepLines w:val="0"/>
        <w:pageBreakBefore w:val="0"/>
        <w:widowControl w:val="0"/>
        <w:kinsoku/>
        <w:wordWrap/>
        <w:overflowPunct/>
        <w:topLinePunct w:val="0"/>
        <w:autoSpaceDE/>
        <w:autoSpaceDN/>
        <w:bidi w:val="0"/>
        <w:adjustRightInd/>
        <w:snapToGrid/>
        <w:spacing w:line="600" w:lineRule="exact"/>
        <w:ind w:right="-14" w:rightChars="0" w:firstLine="4800" w:firstLineChars="1500"/>
        <w:jc w:val="left"/>
        <w:textAlignment w:val="auto"/>
        <w:rPr>
          <w:rFonts w:hint="eastAsia" w:eastAsia="楷体_GB2312" w:cs="楷体_GB2312"/>
          <w:szCs w:val="32"/>
          <w:lang w:eastAsia="zh-CN"/>
        </w:rPr>
      </w:pPr>
      <w:r>
        <w:rPr>
          <w:rFonts w:hint="eastAsia" w:ascii="仿宋_GB2312" w:hAnsi="Times New Roman" w:eastAsia="仿宋_GB2312"/>
          <w:kern w:val="32"/>
          <w:sz w:val="32"/>
          <w:szCs w:val="32"/>
        </w:rPr>
        <w:t>2025年</w:t>
      </w:r>
      <w:r>
        <w:rPr>
          <w:rFonts w:hint="eastAsia" w:ascii="仿宋_GB2312" w:hAnsi="Times New Roman" w:eastAsia="仿宋_GB2312"/>
          <w:kern w:val="32"/>
          <w:sz w:val="32"/>
          <w:szCs w:val="32"/>
          <w:lang w:val="en-US" w:eastAsia="zh-CN"/>
        </w:rPr>
        <w:t>6</w:t>
      </w:r>
      <w:r>
        <w:rPr>
          <w:rFonts w:hint="eastAsia" w:ascii="仿宋_GB2312" w:hAnsi="Times New Roman" w:eastAsia="仿宋_GB2312"/>
          <w:kern w:val="32"/>
          <w:sz w:val="32"/>
          <w:szCs w:val="32"/>
        </w:rPr>
        <w:t>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B032DBB"/>
    <w:rsid w:val="0C6E1544"/>
    <w:rsid w:val="0E9D39B7"/>
    <w:rsid w:val="0EEF0183"/>
    <w:rsid w:val="1219101B"/>
    <w:rsid w:val="12DB2CF7"/>
    <w:rsid w:val="15D93A3C"/>
    <w:rsid w:val="1B7C3D38"/>
    <w:rsid w:val="1C595CF1"/>
    <w:rsid w:val="1C9B2556"/>
    <w:rsid w:val="1D453D13"/>
    <w:rsid w:val="1FE03E2B"/>
    <w:rsid w:val="2027184D"/>
    <w:rsid w:val="2114237A"/>
    <w:rsid w:val="22B155AE"/>
    <w:rsid w:val="23212818"/>
    <w:rsid w:val="2626689D"/>
    <w:rsid w:val="27B22717"/>
    <w:rsid w:val="2A3B64D2"/>
    <w:rsid w:val="2C3550D4"/>
    <w:rsid w:val="2EAF0314"/>
    <w:rsid w:val="30DC7D97"/>
    <w:rsid w:val="310006C2"/>
    <w:rsid w:val="317C2C76"/>
    <w:rsid w:val="31DC6C3C"/>
    <w:rsid w:val="35922F75"/>
    <w:rsid w:val="366E10CC"/>
    <w:rsid w:val="371643C5"/>
    <w:rsid w:val="39864127"/>
    <w:rsid w:val="39C1344E"/>
    <w:rsid w:val="3A0B4CAB"/>
    <w:rsid w:val="3B02271A"/>
    <w:rsid w:val="3C835306"/>
    <w:rsid w:val="3D42560E"/>
    <w:rsid w:val="3D5A65CA"/>
    <w:rsid w:val="3EF041C9"/>
    <w:rsid w:val="3FE17A60"/>
    <w:rsid w:val="40307287"/>
    <w:rsid w:val="40D516CD"/>
    <w:rsid w:val="41E940B3"/>
    <w:rsid w:val="42A47A82"/>
    <w:rsid w:val="44B71804"/>
    <w:rsid w:val="450155C4"/>
    <w:rsid w:val="453271AB"/>
    <w:rsid w:val="459A0768"/>
    <w:rsid w:val="471D6BB8"/>
    <w:rsid w:val="496D5C2E"/>
    <w:rsid w:val="4A024AA2"/>
    <w:rsid w:val="4B745E6C"/>
    <w:rsid w:val="4B897A7D"/>
    <w:rsid w:val="4E1B5A61"/>
    <w:rsid w:val="500C5BAE"/>
    <w:rsid w:val="50FF64A6"/>
    <w:rsid w:val="58AB0C8B"/>
    <w:rsid w:val="58FE48D4"/>
    <w:rsid w:val="59C11342"/>
    <w:rsid w:val="622C03DE"/>
    <w:rsid w:val="6391562E"/>
    <w:rsid w:val="68DF072D"/>
    <w:rsid w:val="6A0A5681"/>
    <w:rsid w:val="6A5C5FF0"/>
    <w:rsid w:val="6DC60AD6"/>
    <w:rsid w:val="6FFD5DDE"/>
    <w:rsid w:val="70013651"/>
    <w:rsid w:val="72210150"/>
    <w:rsid w:val="77E34CC3"/>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6</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陈李秋</cp:lastModifiedBy>
  <cp:lastPrinted>2024-09-09T08:16:00Z</cp:lastPrinted>
  <dcterms:modified xsi:type="dcterms:W3CDTF">2025-06-30T02:10:13Z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