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福建省漳州监狱</w:t>
      </w:r>
    </w:p>
    <w:p>
      <w:pPr>
        <w:snapToGrid w:val="0"/>
        <w:spacing w:line="600" w:lineRule="exact"/>
        <w:jc w:val="center"/>
        <w:rPr>
          <w:rFonts w:ascii="方正小标宋简体" w:hAnsi="宋体" w:eastAsia="方正小标宋简体" w:cs="方正小标宋简体"/>
          <w:sz w:val="44"/>
          <w:szCs w:val="44"/>
        </w:rPr>
      </w:pPr>
      <w:r>
        <w:rPr>
          <w:rFonts w:hint="eastAsia" w:ascii="方正小标宋简体" w:hAnsi="宋体" w:eastAsia="方正小标宋简体" w:cs="方正小标宋简体"/>
          <w:sz w:val="44"/>
          <w:szCs w:val="44"/>
        </w:rPr>
        <w:t>提请减刑建议书</w:t>
      </w:r>
    </w:p>
    <w:p>
      <w:pPr>
        <w:jc w:val="right"/>
        <w:rPr>
          <w:rFonts w:hint="eastAsia"/>
          <w:sz w:val="32"/>
          <w:szCs w:val="32"/>
        </w:rPr>
      </w:pPr>
      <w:r>
        <w:rPr>
          <w:rFonts w:hint="eastAsia" w:ascii="楷体_GB2312" w:hAnsi="华文仿宋" w:eastAsia="楷体_GB2312" w:cs="楷体_GB2312"/>
          <w:sz w:val="32"/>
          <w:szCs w:val="32"/>
        </w:rPr>
        <w:t>〔202</w:t>
      </w:r>
      <w:r>
        <w:rPr>
          <w:rFonts w:hint="eastAsia" w:ascii="楷体_GB2312" w:hAnsi="华文仿宋" w:eastAsia="楷体_GB2312" w:cs="楷体_GB2312"/>
          <w:sz w:val="32"/>
          <w:szCs w:val="32"/>
          <w:lang w:val="en-US" w:eastAsia="zh-CN"/>
        </w:rPr>
        <w:t>5</w:t>
      </w:r>
      <w:r>
        <w:rPr>
          <w:rFonts w:hint="eastAsia" w:ascii="楷体_GB2312" w:hAnsi="华文仿宋" w:eastAsia="楷体_GB2312" w:cs="楷体_GB2312"/>
          <w:sz w:val="32"/>
          <w:szCs w:val="32"/>
        </w:rPr>
        <w:t>〕闽漳狱减字第</w:t>
      </w:r>
      <w:r>
        <w:rPr>
          <w:rFonts w:hint="eastAsia" w:ascii="楷体_GB2312" w:hAnsi="华文仿宋" w:eastAsia="楷体_GB2312" w:cs="楷体_GB2312"/>
          <w:sz w:val="32"/>
          <w:szCs w:val="32"/>
          <w:lang w:val="en-US" w:eastAsia="zh-CN"/>
        </w:rPr>
        <w:t>4023</w:t>
      </w:r>
      <w:r>
        <w:rPr>
          <w:rFonts w:hint="eastAsia" w:ascii="楷体_GB2312" w:hAnsi="华文仿宋" w:eastAsia="楷体_GB2312" w:cs="楷体_GB2312"/>
          <w:sz w:val="32"/>
          <w:szCs w:val="32"/>
        </w:rPr>
        <w:t>号</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w:t>
      </w:r>
      <w:r>
        <w:rPr>
          <w:rFonts w:hint="eastAsia" w:ascii="仿宋_GB2312" w:hAnsi="仿宋_GB2312" w:cs="仿宋_GB2312"/>
          <w:color w:val="auto"/>
          <w:szCs w:val="32"/>
          <w:lang w:val="en-US" w:eastAsia="zh-CN"/>
        </w:rPr>
        <w:t>饶敦涛，男，1980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28</w:t>
      </w:r>
      <w:r>
        <w:rPr>
          <w:rFonts w:hint="eastAsia" w:ascii="仿宋_GB2312" w:hAnsi="仿宋_GB2312" w:eastAsia="仿宋_GB2312" w:cs="仿宋_GB2312"/>
          <w:color w:val="auto"/>
          <w:szCs w:val="32"/>
        </w:rPr>
        <w:t>日出生，</w:t>
      </w:r>
      <w:r>
        <w:rPr>
          <w:rFonts w:hint="eastAsia" w:ascii="仿宋_GB2312" w:hAnsi="仿宋_GB2312" w:cs="仿宋_GB2312"/>
          <w:color w:val="auto"/>
          <w:szCs w:val="32"/>
          <w:lang w:val="en-US" w:eastAsia="zh-CN"/>
        </w:rPr>
        <w:t>汉</w:t>
      </w:r>
      <w:r>
        <w:rPr>
          <w:rFonts w:hint="eastAsia" w:ascii="仿宋_GB2312" w:hAnsi="仿宋_GB2312" w:eastAsia="仿宋_GB2312" w:cs="仿宋_GB2312"/>
          <w:color w:val="auto"/>
          <w:szCs w:val="32"/>
        </w:rPr>
        <w:t>族，</w:t>
      </w:r>
      <w:r>
        <w:rPr>
          <w:rFonts w:hint="eastAsia" w:ascii="仿宋_GB2312" w:hAnsi="仿宋_GB2312" w:cs="仿宋_GB2312"/>
          <w:color w:val="auto"/>
          <w:szCs w:val="32"/>
          <w:lang w:eastAsia="zh-CN"/>
        </w:rPr>
        <w:t>小学文化</w:t>
      </w:r>
      <w:r>
        <w:rPr>
          <w:rFonts w:hint="eastAsia" w:ascii="仿宋_GB2312" w:hAnsi="仿宋_GB2312" w:eastAsia="仿宋_GB2312" w:cs="仿宋_GB2312"/>
          <w:color w:val="auto"/>
          <w:szCs w:val="32"/>
          <w:lang w:val="en-US" w:eastAsia="zh-CN"/>
        </w:rPr>
        <w:t>，</w:t>
      </w:r>
      <w:r>
        <w:rPr>
          <w:rFonts w:hint="eastAsia" w:ascii="仿宋_GB2312" w:hAnsi="仿宋_GB2312" w:eastAsia="仿宋_GB2312" w:cs="仿宋_GB2312"/>
          <w:color w:val="auto"/>
          <w:szCs w:val="32"/>
        </w:rPr>
        <w:t>住湖北省潜江市</w:t>
      </w:r>
      <w:bookmarkStart w:id="0" w:name="_GoBack"/>
      <w:bookmarkEnd w:id="0"/>
      <w:r>
        <w:rPr>
          <w:rFonts w:hint="eastAsia" w:ascii="仿宋_GB2312" w:hAnsi="仿宋_GB2312" w:eastAsia="仿宋_GB2312" w:cs="仿宋_GB2312"/>
          <w:color w:val="auto"/>
          <w:szCs w:val="32"/>
        </w:rPr>
        <w:t>，捕前系</w:t>
      </w:r>
      <w:r>
        <w:rPr>
          <w:rFonts w:hint="eastAsia" w:ascii="仿宋_GB2312" w:hAnsi="仿宋_GB2312" w:cs="仿宋_GB2312"/>
          <w:color w:val="auto"/>
          <w:szCs w:val="32"/>
          <w:lang w:eastAsia="zh-CN"/>
        </w:rPr>
        <w:t>务工</w:t>
      </w:r>
      <w:r>
        <w:rPr>
          <w:rFonts w:hint="eastAsia" w:ascii="仿宋_GB2312" w:hAnsi="仿宋_GB2312" w:eastAsia="仿宋_GB2312" w:cs="仿宋_GB2312"/>
          <w:color w:val="auto"/>
          <w:szCs w:val="32"/>
        </w:rPr>
        <w:t>。</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福建省泉州市中级</w:t>
      </w:r>
      <w:r>
        <w:rPr>
          <w:rFonts w:hint="eastAsia" w:ascii="仿宋_GB2312" w:hAnsi="仿宋_GB2312" w:eastAsia="仿宋_GB2312" w:cs="仿宋_GB2312"/>
          <w:color w:val="auto"/>
          <w:szCs w:val="32"/>
        </w:rPr>
        <w:t>人民法院于</w:t>
      </w:r>
      <w:r>
        <w:rPr>
          <w:rFonts w:hint="eastAsia" w:ascii="仿宋_GB2312" w:hAnsi="仿宋_GB2312" w:cs="仿宋_GB2312"/>
          <w:color w:val="auto"/>
          <w:szCs w:val="32"/>
          <w:lang w:val="en-US" w:eastAsia="zh-CN"/>
        </w:rPr>
        <w:t>2016</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7</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2015</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泉</w:t>
      </w:r>
      <w:r>
        <w:rPr>
          <w:rFonts w:hint="eastAsia" w:ascii="仿宋_GB2312" w:hAnsi="仿宋_GB2312" w:eastAsia="仿宋_GB2312" w:cs="仿宋_GB2312"/>
          <w:color w:val="auto"/>
          <w:szCs w:val="32"/>
        </w:rPr>
        <w:t>刑</w:t>
      </w:r>
      <w:r>
        <w:rPr>
          <w:rFonts w:hint="eastAsia" w:ascii="仿宋_GB2312" w:hAnsi="仿宋_GB2312" w:cs="仿宋_GB2312"/>
          <w:color w:val="auto"/>
          <w:szCs w:val="32"/>
          <w:lang w:eastAsia="zh-CN"/>
        </w:rPr>
        <w:t>初</w:t>
      </w:r>
      <w:r>
        <w:rPr>
          <w:rFonts w:hint="eastAsia" w:ascii="仿宋_GB2312" w:hAnsi="仿宋_GB2312" w:eastAsia="仿宋_GB2312" w:cs="仿宋_GB2312"/>
          <w:color w:val="auto"/>
          <w:szCs w:val="32"/>
        </w:rPr>
        <w:t>字第</w:t>
      </w:r>
      <w:r>
        <w:rPr>
          <w:rFonts w:hint="eastAsia" w:ascii="仿宋_GB2312" w:hAnsi="仿宋_GB2312" w:cs="仿宋_GB2312"/>
          <w:color w:val="auto"/>
          <w:szCs w:val="32"/>
          <w:lang w:val="en-US" w:eastAsia="zh-CN"/>
        </w:rPr>
        <w:t>131</w:t>
      </w:r>
      <w:r>
        <w:rPr>
          <w:rFonts w:hint="eastAsia" w:ascii="仿宋_GB2312" w:hAnsi="仿宋_GB2312" w:eastAsia="仿宋_GB2312" w:cs="仿宋_GB2312"/>
          <w:color w:val="auto"/>
          <w:szCs w:val="32"/>
        </w:rPr>
        <w:t>号刑事判决，以被告人</w:t>
      </w:r>
      <w:r>
        <w:rPr>
          <w:rFonts w:hint="eastAsia" w:ascii="仿宋_GB2312" w:hAnsi="仿宋_GB2312" w:cs="仿宋_GB2312"/>
          <w:color w:val="auto"/>
          <w:szCs w:val="32"/>
          <w:lang w:eastAsia="zh-CN"/>
        </w:rPr>
        <w:t>饶敦涛</w:t>
      </w:r>
      <w:r>
        <w:rPr>
          <w:rFonts w:hint="eastAsia" w:ascii="仿宋_GB2312" w:hAnsi="仿宋_GB2312" w:eastAsia="仿宋_GB2312" w:cs="仿宋_GB2312"/>
          <w:color w:val="auto"/>
          <w:szCs w:val="32"/>
        </w:rPr>
        <w:t>犯</w:t>
      </w:r>
      <w:r>
        <w:rPr>
          <w:rFonts w:hint="eastAsia" w:ascii="仿宋_GB2312" w:hAnsi="仿宋_GB2312" w:cs="仿宋_GB2312"/>
          <w:color w:val="auto"/>
          <w:szCs w:val="32"/>
          <w:lang w:eastAsia="zh-CN"/>
        </w:rPr>
        <w:t>贩卖毒品</w:t>
      </w:r>
      <w:r>
        <w:rPr>
          <w:rFonts w:hint="eastAsia" w:ascii="仿宋_GB2312" w:hAnsi="仿宋_GB2312" w:eastAsia="仿宋_GB2312" w:cs="仿宋_GB2312"/>
          <w:color w:val="auto"/>
          <w:szCs w:val="32"/>
        </w:rPr>
        <w:t>罪，判处</w:t>
      </w:r>
      <w:r>
        <w:rPr>
          <w:rFonts w:hint="eastAsia" w:ascii="仿宋_GB2312" w:hAnsi="仿宋_GB2312" w:cs="仿宋_GB2312"/>
          <w:color w:val="auto"/>
          <w:szCs w:val="32"/>
          <w:lang w:eastAsia="zh-CN"/>
        </w:rPr>
        <w:t>死刑</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缓期二年执行，</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w:t>
      </w:r>
      <w:r>
        <w:rPr>
          <w:rFonts w:hint="eastAsia" w:ascii="仿宋_GB2312" w:hAnsi="仿宋_GB2312" w:cs="仿宋_GB2312"/>
          <w:color w:val="auto"/>
          <w:szCs w:val="32"/>
          <w:lang w:eastAsia="zh-CN"/>
        </w:rPr>
        <w:t>并处没收个人全部财产，继续追缴各被告人全部违法所得</w:t>
      </w:r>
      <w:r>
        <w:rPr>
          <w:rFonts w:hint="eastAsia" w:ascii="仿宋_GB2312" w:hAnsi="仿宋_GB2312" w:eastAsia="仿宋_GB2312" w:cs="仿宋_GB2312"/>
          <w:color w:val="auto"/>
          <w:szCs w:val="32"/>
        </w:rPr>
        <w:t>。宣判后，该犯不服，提出上诉。福建省</w:t>
      </w:r>
      <w:r>
        <w:rPr>
          <w:rFonts w:hint="eastAsia" w:ascii="仿宋_GB2312" w:hAnsi="仿宋_GB2312" w:cs="仿宋_GB2312"/>
          <w:color w:val="auto"/>
          <w:szCs w:val="32"/>
          <w:lang w:eastAsia="zh-CN"/>
        </w:rPr>
        <w:t>高</w:t>
      </w:r>
      <w:r>
        <w:rPr>
          <w:rFonts w:hint="eastAsia" w:ascii="仿宋_GB2312" w:hAnsi="仿宋_GB2312" w:eastAsia="仿宋_GB2312" w:cs="仿宋_GB2312"/>
          <w:color w:val="auto"/>
          <w:szCs w:val="32"/>
        </w:rPr>
        <w:t>级人民法院于</w:t>
      </w:r>
      <w:r>
        <w:rPr>
          <w:rFonts w:hint="eastAsia" w:ascii="仿宋_GB2312" w:hAnsi="仿宋_GB2312" w:cs="仿宋_GB2312"/>
          <w:color w:val="auto"/>
          <w:szCs w:val="32"/>
          <w:lang w:val="en-US" w:eastAsia="zh-CN"/>
        </w:rPr>
        <w:t>2017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10</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日作出（</w:t>
      </w:r>
      <w:r>
        <w:rPr>
          <w:rFonts w:hint="eastAsia" w:ascii="仿宋_GB2312" w:hAnsi="仿宋_GB2312" w:cs="仿宋_GB2312"/>
          <w:color w:val="auto"/>
          <w:szCs w:val="32"/>
          <w:lang w:val="en-US" w:eastAsia="zh-CN"/>
        </w:rPr>
        <w:t>2016</w:t>
      </w:r>
      <w:r>
        <w:rPr>
          <w:rFonts w:hint="eastAsia" w:ascii="仿宋_GB2312" w:hAnsi="仿宋_GB2312" w:eastAsia="仿宋_GB2312" w:cs="仿宋_GB2312"/>
          <w:color w:val="auto"/>
          <w:szCs w:val="32"/>
        </w:rPr>
        <w:t>）闽刑终</w:t>
      </w:r>
      <w:r>
        <w:rPr>
          <w:rFonts w:hint="eastAsia" w:ascii="仿宋_GB2312" w:hAnsi="仿宋_GB2312" w:cs="仿宋_GB2312"/>
          <w:color w:val="auto"/>
          <w:szCs w:val="32"/>
          <w:lang w:val="en-US" w:eastAsia="zh-CN"/>
        </w:rPr>
        <w:t>293</w:t>
      </w:r>
      <w:r>
        <w:rPr>
          <w:rFonts w:hint="eastAsia" w:ascii="仿宋_GB2312" w:hAnsi="仿宋_GB2312" w:eastAsia="仿宋_GB2312" w:cs="仿宋_GB2312"/>
          <w:color w:val="auto"/>
          <w:szCs w:val="32"/>
        </w:rPr>
        <w:t>号刑事裁定，驳回上诉，维持原判。</w:t>
      </w:r>
      <w:r>
        <w:rPr>
          <w:rFonts w:hint="eastAsia" w:ascii="仿宋_GB2312" w:hAnsi="仿宋_GB2312" w:cs="仿宋_GB2312"/>
          <w:color w:val="auto"/>
          <w:szCs w:val="32"/>
          <w:lang w:eastAsia="zh-CN"/>
        </w:rPr>
        <w:t>死刑缓期执行期自</w:t>
      </w:r>
      <w:r>
        <w:rPr>
          <w:rFonts w:hint="eastAsia" w:ascii="仿宋_GB2312" w:hAnsi="仿宋_GB2312" w:cs="仿宋_GB2312"/>
          <w:color w:val="auto"/>
          <w:szCs w:val="32"/>
          <w:lang w:val="en-US" w:eastAsia="zh-CN"/>
        </w:rPr>
        <w:t>2017年11月28日起至2019年11月27日止。2017</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25</w:t>
      </w:r>
      <w:r>
        <w:rPr>
          <w:rFonts w:hint="eastAsia" w:ascii="仿宋_GB2312" w:hAnsi="仿宋_GB2312" w:eastAsia="仿宋_GB2312" w:cs="仿宋_GB2312"/>
          <w:color w:val="auto"/>
          <w:szCs w:val="32"/>
        </w:rPr>
        <w:t>日交付福建省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监狱执行刑罚。</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12</w:t>
      </w:r>
      <w:r>
        <w:rPr>
          <w:rFonts w:hint="eastAsia" w:ascii="仿宋_GB2312" w:hAnsi="仿宋_GB2312" w:eastAsia="仿宋_GB2312" w:cs="仿宋_GB2312"/>
          <w:color w:val="auto"/>
          <w:szCs w:val="32"/>
        </w:rPr>
        <w:t>日，</w:t>
      </w:r>
      <w:r>
        <w:rPr>
          <w:rFonts w:hint="eastAsia" w:ascii="仿宋_GB2312" w:hAnsi="仿宋_GB2312" w:cs="仿宋_GB2312"/>
          <w:color w:val="auto"/>
          <w:szCs w:val="32"/>
          <w:lang w:eastAsia="zh-CN"/>
        </w:rPr>
        <w:t>福建省高级</w:t>
      </w:r>
      <w:r>
        <w:rPr>
          <w:rFonts w:hint="eastAsia" w:ascii="仿宋_GB2312" w:hAnsi="仿宋_GB2312" w:eastAsia="仿宋_GB2312" w:cs="仿宋_GB2312"/>
          <w:color w:val="auto"/>
          <w:szCs w:val="32"/>
        </w:rPr>
        <w:t>人民法院以</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2020</w:t>
      </w:r>
      <w:r>
        <w:rPr>
          <w:rFonts w:hint="eastAsia" w:ascii="仿宋_GB2312" w:hAnsi="仿宋_GB2312" w:cs="仿宋_GB2312"/>
          <w:color w:val="auto"/>
          <w:szCs w:val="32"/>
          <w:lang w:eastAsia="zh-CN"/>
        </w:rPr>
        <w:t>）闽刑更</w:t>
      </w:r>
      <w:r>
        <w:rPr>
          <w:rFonts w:hint="eastAsia" w:ascii="仿宋_GB2312" w:hAnsi="仿宋_GB2312" w:cs="仿宋_GB2312"/>
          <w:color w:val="auto"/>
          <w:szCs w:val="32"/>
          <w:lang w:val="en-US" w:eastAsia="zh-CN"/>
        </w:rPr>
        <w:t>70号</w:t>
      </w:r>
      <w:r>
        <w:rPr>
          <w:rFonts w:hint="eastAsia" w:ascii="仿宋_GB2312" w:hAnsi="仿宋_GB2312" w:eastAsia="仿宋_GB2312" w:cs="仿宋_GB2312"/>
          <w:color w:val="auto"/>
          <w:szCs w:val="32"/>
        </w:rPr>
        <w:t>刑事裁定书，对其减为</w:t>
      </w:r>
      <w:r>
        <w:rPr>
          <w:rFonts w:hint="eastAsia" w:ascii="仿宋_GB2312" w:hAnsi="仿宋_GB2312" w:cs="仿宋_GB2312"/>
          <w:color w:val="auto"/>
          <w:szCs w:val="32"/>
          <w:lang w:eastAsia="zh-CN"/>
        </w:rPr>
        <w:t>无期徒刑</w:t>
      </w:r>
      <w:r>
        <w:rPr>
          <w:rFonts w:hint="eastAsia" w:ascii="仿宋_GB2312" w:hAnsi="仿宋_GB2312" w:eastAsia="仿宋_GB2312" w:cs="仿宋_GB2312"/>
          <w:color w:val="auto"/>
          <w:szCs w:val="32"/>
        </w:rPr>
        <w:t>，剥夺政治权利</w:t>
      </w:r>
      <w:r>
        <w:rPr>
          <w:rFonts w:hint="eastAsia" w:ascii="仿宋_GB2312" w:hAnsi="仿宋_GB2312" w:cs="仿宋_GB2312"/>
          <w:color w:val="auto"/>
          <w:szCs w:val="32"/>
          <w:lang w:eastAsia="zh-CN"/>
        </w:rPr>
        <w:t>终身</w:t>
      </w:r>
      <w:r>
        <w:rPr>
          <w:rFonts w:hint="eastAsia" w:ascii="仿宋_GB2312" w:hAnsi="仿宋_GB2312" w:eastAsia="仿宋_GB2312" w:cs="仿宋_GB2312"/>
          <w:color w:val="auto"/>
          <w:szCs w:val="32"/>
        </w:rPr>
        <w:t>不变</w:t>
      </w:r>
      <w:r>
        <w:rPr>
          <w:rFonts w:hint="eastAsia" w:ascii="仿宋_GB2312" w:hAnsi="仿宋_GB2312" w:cs="仿宋_GB2312"/>
          <w:color w:val="auto"/>
          <w:szCs w:val="32"/>
          <w:lang w:eastAsia="zh-CN"/>
        </w:rPr>
        <w:t>，</w:t>
      </w:r>
      <w:r>
        <w:rPr>
          <w:rFonts w:hint="eastAsia" w:ascii="仿宋_GB2312" w:hAnsi="仿宋_GB2312" w:cs="仿宋_GB2312"/>
          <w:color w:val="auto"/>
          <w:szCs w:val="32"/>
          <w:lang w:val="en-US" w:eastAsia="zh-CN"/>
        </w:rPr>
        <w:t>2020</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29</w:t>
      </w:r>
      <w:r>
        <w:rPr>
          <w:rFonts w:hint="eastAsia" w:ascii="仿宋_GB2312" w:hAnsi="仿宋_GB2312" w:eastAsia="仿宋_GB2312" w:cs="仿宋_GB2312"/>
          <w:color w:val="auto"/>
          <w:szCs w:val="32"/>
        </w:rPr>
        <w:t>日送达。属</w:t>
      </w:r>
      <w:r>
        <w:rPr>
          <w:rFonts w:hint="eastAsia" w:ascii="仿宋_GB2312" w:hAnsi="仿宋_GB2312" w:cs="仿宋_GB2312"/>
          <w:color w:val="auto"/>
          <w:szCs w:val="32"/>
          <w:lang w:eastAsia="zh-CN"/>
        </w:rPr>
        <w:t>普管</w:t>
      </w:r>
      <w:r>
        <w:rPr>
          <w:rFonts w:hint="eastAsia" w:ascii="仿宋_GB2312" w:hAnsi="仿宋_GB2312" w:eastAsia="仿宋_GB2312" w:cs="仿宋_GB2312"/>
          <w:color w:val="auto"/>
          <w:szCs w:val="32"/>
        </w:rPr>
        <w:t>级罪犯。</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cs="仿宋_GB2312"/>
          <w:color w:val="auto"/>
          <w:szCs w:val="32"/>
          <w:lang w:eastAsia="zh-CN"/>
        </w:rPr>
        <w:t>罪犯饶敦涛在死刑缓期执行期间没有故意犯罪，在无期徒刑期间确有悔改表现，自入监以来改造表现如下</w:t>
      </w:r>
      <w:r>
        <w:rPr>
          <w:rFonts w:hint="eastAsia" w:ascii="仿宋_GB2312" w:hAnsi="仿宋_GB2312" w:eastAsia="仿宋_GB2312" w:cs="仿宋_GB2312"/>
          <w:color w:val="auto"/>
          <w:szCs w:val="32"/>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仿宋_GB2312" w:hAnsi="仿宋_GB2312" w:eastAsia="仿宋_GB2312" w:cs="仿宋_GB2312"/>
          <w:iCs/>
          <w:color w:val="auto"/>
          <w:kern w:val="2"/>
          <w:szCs w:val="32"/>
        </w:rPr>
      </w:pPr>
      <w:r>
        <w:rPr>
          <w:rFonts w:hint="eastAsia" w:ascii="仿宋_GB2312" w:hAnsi="仿宋_GB2312" w:eastAsia="仿宋_GB2312" w:cs="仿宋_GB2312"/>
          <w:iCs/>
          <w:color w:val="auto"/>
          <w:kern w:val="2"/>
          <w:szCs w:val="32"/>
        </w:rPr>
        <w:t>认罪悔罪：</w:t>
      </w:r>
      <w:r>
        <w:rPr>
          <w:rFonts w:hint="eastAsia" w:ascii="仿宋_GB2312" w:hAnsi="仿宋_GB2312" w:eastAsia="仿宋_GB2312" w:cs="仿宋_GB2312"/>
          <w:iCs/>
          <w:color w:val="auto"/>
          <w:kern w:val="2"/>
          <w:szCs w:val="32"/>
          <w:lang w:val="en-US" w:eastAsia="zh-CN"/>
        </w:rPr>
        <w:t>能服从法院判决，自书认罪悔罪书</w:t>
      </w:r>
      <w:r>
        <w:rPr>
          <w:rFonts w:hint="eastAsia" w:ascii="仿宋_GB2312" w:hAnsi="仿宋_GB2312" w:cs="仿宋_GB2312"/>
          <w:iCs/>
          <w:color w:val="auto"/>
          <w:kern w:val="2"/>
          <w:szCs w:val="32"/>
          <w:lang w:val="en-US" w:eastAsia="zh-CN"/>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rPr>
        <w:t>遵守监规</w:t>
      </w:r>
      <w:r>
        <w:rPr>
          <w:rFonts w:hint="eastAsia" w:ascii="仿宋_GB2312" w:hAnsi="仿宋_GB2312" w:eastAsia="仿宋_GB2312" w:cs="仿宋_GB2312"/>
          <w:color w:val="auto"/>
          <w:szCs w:val="32"/>
          <w:lang w:val="zh-CN"/>
        </w:rPr>
        <w:t>：</w:t>
      </w:r>
      <w:r>
        <w:rPr>
          <w:rFonts w:hint="eastAsia" w:ascii="仿宋_GB2312" w:hAnsi="仿宋_GB2312" w:cs="仿宋_GB2312"/>
          <w:color w:val="auto"/>
          <w:szCs w:val="32"/>
          <w:lang w:val="zh-CN"/>
        </w:rPr>
        <w:t>该犯考核期内虽有违规，但经民警教育后，能认识到错误，有悔改表现，本次提请前能遵守法律法规及监规纪律，接受教育改造</w:t>
      </w:r>
      <w:r>
        <w:rPr>
          <w:rFonts w:hint="eastAsia" w:ascii="仿宋_GB2312" w:hAnsi="仿宋_GB2312" w:eastAsia="仿宋_GB2312" w:cs="仿宋_GB2312"/>
          <w:color w:val="auto"/>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left="640" w:firstLine="0" w:firstLineChars="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学习情况：能参加</w:t>
      </w:r>
      <w:r>
        <w:rPr>
          <w:rFonts w:hint="eastAsia" w:ascii="仿宋_GB2312" w:hAnsi="仿宋_GB2312" w:eastAsia="仿宋_GB2312" w:cs="仿宋_GB2312"/>
          <w:color w:val="auto"/>
          <w:szCs w:val="32"/>
        </w:rPr>
        <w:t>思想、文化、职业技术</w:t>
      </w:r>
      <w:r>
        <w:rPr>
          <w:rFonts w:hint="eastAsia" w:ascii="仿宋_GB2312" w:hAnsi="仿宋_GB2312" w:eastAsia="仿宋_GB2312" w:cs="仿宋_GB2312"/>
          <w:color w:val="auto"/>
          <w:szCs w:val="32"/>
          <w:lang w:val="en-US" w:eastAsia="zh-CN"/>
        </w:rPr>
        <w:t>教育</w:t>
      </w:r>
      <w:r>
        <w:rPr>
          <w:rFonts w:hint="eastAsia" w:ascii="仿宋_GB2312" w:hAnsi="仿宋_GB2312" w:eastAsia="仿宋_GB2312" w:cs="仿宋_GB2312"/>
          <w:color w:val="auto"/>
          <w:szCs w:val="32"/>
          <w:lang w:val="zh-CN"/>
        </w:rPr>
        <w:t>。</w:t>
      </w:r>
    </w:p>
    <w:p>
      <w:pPr>
        <w:pStyle w:val="9"/>
        <w:keepNext w:val="0"/>
        <w:keepLines w:val="0"/>
        <w:pageBreakBefore w:val="0"/>
        <w:widowControl w:val="0"/>
        <w:kinsoku/>
        <w:wordWrap/>
        <w:overflowPunct/>
        <w:topLinePunct w:val="0"/>
        <w:autoSpaceDE w:val="0"/>
        <w:autoSpaceDN w:val="0"/>
        <w:bidi w:val="0"/>
        <w:adjustRightInd w:val="0"/>
        <w:snapToGrid/>
        <w:spacing w:line="500" w:lineRule="exact"/>
        <w:ind w:firstLine="640"/>
        <w:jc w:val="left"/>
        <w:textAlignment w:val="auto"/>
        <w:rPr>
          <w:rFonts w:hint="eastAsia" w:ascii="仿宋_GB2312" w:hAnsi="仿宋_GB2312" w:eastAsia="仿宋_GB2312" w:cs="仿宋_GB2312"/>
          <w:color w:val="auto"/>
          <w:szCs w:val="32"/>
          <w:lang w:val="zh-CN"/>
        </w:rPr>
      </w:pPr>
      <w:r>
        <w:rPr>
          <w:rFonts w:hint="eastAsia" w:ascii="仿宋_GB2312" w:hAnsi="仿宋_GB2312" w:eastAsia="仿宋_GB2312" w:cs="仿宋_GB2312"/>
          <w:color w:val="auto"/>
          <w:szCs w:val="32"/>
          <w:lang w:val="zh-CN"/>
        </w:rPr>
        <w:t>劳动改造：能参加劳动，努力完成</w:t>
      </w:r>
      <w:r>
        <w:rPr>
          <w:rFonts w:hint="eastAsia" w:ascii="仿宋_GB2312" w:hAnsi="仿宋_GB2312" w:eastAsia="仿宋_GB2312" w:cs="仿宋_GB2312"/>
          <w:color w:val="auto"/>
          <w:szCs w:val="32"/>
          <w:lang w:val="en-US" w:eastAsia="zh-CN"/>
        </w:rPr>
        <w:t>劳动</w:t>
      </w:r>
      <w:r>
        <w:rPr>
          <w:rFonts w:hint="eastAsia" w:ascii="仿宋_GB2312" w:hAnsi="仿宋_GB2312" w:eastAsia="仿宋_GB2312" w:cs="仿宋_GB2312"/>
          <w:color w:val="auto"/>
          <w:szCs w:val="32"/>
          <w:lang w:val="zh-CN"/>
        </w:rPr>
        <w:t>任务。</w:t>
      </w:r>
    </w:p>
    <w:p>
      <w:pPr>
        <w:pStyle w:val="9"/>
        <w:keepNext w:val="0"/>
        <w:keepLines w:val="0"/>
        <w:pageBreakBefore w:val="0"/>
        <w:widowControl w:val="0"/>
        <w:kinsoku/>
        <w:wordWrap/>
        <w:overflowPunct/>
        <w:topLinePunct w:val="0"/>
        <w:bidi w:val="0"/>
        <w:snapToGrid/>
        <w:spacing w:line="50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奖惩情况：该犯2017年1</w:t>
      </w:r>
      <w:r>
        <w:rPr>
          <w:rFonts w:hint="eastAsia" w:ascii="仿宋_GB2312" w:hAnsi="仿宋_GB2312" w:cs="仿宋_GB2312"/>
          <w:bCs/>
          <w:color w:val="auto"/>
          <w:szCs w:val="32"/>
          <w:lang w:val="en-US" w:eastAsia="zh-CN"/>
        </w:rPr>
        <w:t>2</w:t>
      </w:r>
      <w:r>
        <w:rPr>
          <w:rFonts w:hint="eastAsia" w:ascii="仿宋_GB2312" w:hAnsi="仿宋_GB2312" w:eastAsia="仿宋_GB2312" w:cs="仿宋_GB2312"/>
          <w:bCs/>
          <w:color w:val="auto"/>
          <w:szCs w:val="32"/>
          <w:lang w:val="zh-CN" w:eastAsia="zh-CN"/>
        </w:rPr>
        <w:t>月2</w:t>
      </w:r>
      <w:r>
        <w:rPr>
          <w:rFonts w:hint="eastAsia" w:ascii="仿宋_GB2312" w:hAnsi="仿宋_GB2312" w:cs="仿宋_GB2312"/>
          <w:bCs/>
          <w:color w:val="auto"/>
          <w:szCs w:val="32"/>
          <w:lang w:val="en-US" w:eastAsia="zh-CN"/>
        </w:rPr>
        <w:t>5</w:t>
      </w:r>
      <w:r>
        <w:rPr>
          <w:rFonts w:hint="eastAsia" w:ascii="仿宋_GB2312" w:hAnsi="仿宋_GB2312" w:eastAsia="仿宋_GB2312" w:cs="仿宋_GB2312"/>
          <w:bCs/>
          <w:color w:val="auto"/>
          <w:szCs w:val="32"/>
          <w:lang w:val="zh-CN" w:eastAsia="zh-CN"/>
        </w:rPr>
        <w:t>日至2019年11月，累计考核分2248.5分, 2019年12月至2025年3月，累计考核分7448分，合计获得考核分9696.5分，获表扬12次，物质奖励4次。2017年11月2</w:t>
      </w:r>
      <w:r>
        <w:rPr>
          <w:rFonts w:hint="eastAsia" w:ascii="仿宋_GB2312" w:hAnsi="仿宋_GB2312" w:cs="仿宋_GB2312"/>
          <w:bCs/>
          <w:color w:val="auto"/>
          <w:szCs w:val="32"/>
          <w:lang w:val="en-US" w:eastAsia="zh-CN"/>
        </w:rPr>
        <w:t>8</w:t>
      </w:r>
      <w:r>
        <w:rPr>
          <w:rFonts w:hint="eastAsia" w:ascii="仿宋_GB2312" w:hAnsi="仿宋_GB2312" w:eastAsia="仿宋_GB2312" w:cs="仿宋_GB2312"/>
          <w:bCs/>
          <w:color w:val="auto"/>
          <w:szCs w:val="32"/>
          <w:lang w:val="zh-CN" w:eastAsia="zh-CN"/>
        </w:rPr>
        <w:t>日至2019年11月，无违规扣分；2019年12月至2025年3月，违规4次，累计扣24分，无重大违规。</w:t>
      </w:r>
    </w:p>
    <w:p>
      <w:pPr>
        <w:pStyle w:val="9"/>
        <w:keepNext w:val="0"/>
        <w:keepLines w:val="0"/>
        <w:pageBreakBefore w:val="0"/>
        <w:widowControl w:val="0"/>
        <w:kinsoku/>
        <w:wordWrap/>
        <w:overflowPunct/>
        <w:topLinePunct w:val="0"/>
        <w:bidi w:val="0"/>
        <w:snapToGrid/>
        <w:spacing w:line="500" w:lineRule="exact"/>
        <w:ind w:firstLine="640"/>
        <w:jc w:val="left"/>
        <w:textAlignment w:val="auto"/>
        <w:rPr>
          <w:rFonts w:hint="eastAsia" w:ascii="仿宋_GB2312" w:hAnsi="仿宋_GB2312" w:eastAsia="仿宋_GB2312" w:cs="仿宋_GB2312"/>
          <w:bCs/>
          <w:color w:val="auto"/>
          <w:szCs w:val="32"/>
          <w:lang w:val="zh-CN" w:eastAsia="zh-CN"/>
        </w:rPr>
      </w:pPr>
      <w:r>
        <w:rPr>
          <w:rFonts w:hint="eastAsia" w:ascii="仿宋_GB2312" w:hAnsi="仿宋_GB2312" w:eastAsia="仿宋_GB2312" w:cs="仿宋_GB2312"/>
          <w:bCs/>
          <w:color w:val="auto"/>
          <w:szCs w:val="32"/>
          <w:lang w:val="zh-CN" w:eastAsia="zh-CN"/>
        </w:rPr>
        <w:t>原判财产性判项已履行人民币2400元</w:t>
      </w:r>
      <w:r>
        <w:rPr>
          <w:rFonts w:hint="eastAsia" w:ascii="仿宋_GB2312" w:hAnsi="仿宋_GB2312" w:cs="仿宋_GB2312"/>
          <w:bCs/>
          <w:color w:val="auto"/>
          <w:szCs w:val="32"/>
          <w:lang w:val="zh-CN" w:eastAsia="zh-CN"/>
        </w:rPr>
        <w:t>，</w:t>
      </w:r>
      <w:r>
        <w:rPr>
          <w:rFonts w:hint="eastAsia" w:ascii="仿宋_GB2312" w:hAnsi="仿宋_GB2312" w:eastAsia="仿宋_GB2312" w:cs="仿宋_GB2312"/>
          <w:bCs/>
          <w:color w:val="auto"/>
          <w:szCs w:val="32"/>
          <w:lang w:val="zh-CN" w:eastAsia="zh-CN"/>
        </w:rPr>
        <w:t>其中本次提请向福建省泉州市中级人民法院缴纳没收个人财产人民币1200元，违法所得人民币1200元。该犯考核期月均消费人民币283.9元（不包括购买药品、报刊书籍费用），帐户可用余额人民币512.85元。2025年</w:t>
      </w:r>
      <w:r>
        <w:rPr>
          <w:rFonts w:hint="eastAsia" w:ascii="仿宋_GB2312" w:hAnsi="仿宋_GB2312" w:cs="仿宋_GB2312"/>
          <w:bCs/>
          <w:color w:val="auto"/>
          <w:szCs w:val="32"/>
          <w:lang w:val="en-US" w:eastAsia="zh-CN"/>
        </w:rPr>
        <w:t>3</w:t>
      </w:r>
      <w:r>
        <w:rPr>
          <w:rFonts w:hint="eastAsia" w:ascii="仿宋_GB2312" w:hAnsi="仿宋_GB2312" w:eastAsia="仿宋_GB2312" w:cs="仿宋_GB2312"/>
          <w:bCs/>
          <w:color w:val="auto"/>
          <w:szCs w:val="32"/>
          <w:lang w:val="zh-CN" w:eastAsia="zh-CN"/>
        </w:rPr>
        <w:t>月</w:t>
      </w:r>
      <w:r>
        <w:rPr>
          <w:rFonts w:hint="eastAsia" w:ascii="仿宋_GB2312" w:hAnsi="仿宋_GB2312" w:cs="仿宋_GB2312"/>
          <w:bCs/>
          <w:color w:val="auto"/>
          <w:szCs w:val="32"/>
          <w:lang w:val="en-US" w:eastAsia="zh-CN"/>
        </w:rPr>
        <w:t>11</w:t>
      </w:r>
      <w:r>
        <w:rPr>
          <w:rFonts w:hint="eastAsia" w:ascii="仿宋_GB2312" w:hAnsi="仿宋_GB2312" w:eastAsia="仿宋_GB2312" w:cs="仿宋_GB2312"/>
          <w:bCs/>
          <w:color w:val="auto"/>
          <w:szCs w:val="32"/>
          <w:lang w:val="zh-CN" w:eastAsia="zh-CN"/>
        </w:rPr>
        <w:t>日福建省泉州市中级人民法院</w:t>
      </w:r>
      <w:r>
        <w:rPr>
          <w:rFonts w:hint="eastAsia" w:ascii="仿宋_GB2312" w:hAnsi="仿宋_GB2312" w:cs="仿宋_GB2312"/>
          <w:bCs/>
          <w:color w:val="auto"/>
          <w:szCs w:val="32"/>
          <w:lang w:val="zh-CN" w:eastAsia="zh-CN"/>
        </w:rPr>
        <w:t>执行裁定书</w:t>
      </w:r>
      <w:r>
        <w:rPr>
          <w:rFonts w:hint="eastAsia" w:ascii="仿宋_GB2312" w:hAnsi="仿宋_GB2312" w:eastAsia="仿宋_GB2312" w:cs="仿宋_GB2312"/>
          <w:bCs/>
          <w:color w:val="auto"/>
          <w:szCs w:val="32"/>
          <w:lang w:val="zh-CN" w:eastAsia="zh-CN"/>
        </w:rPr>
        <w:t>载明：</w:t>
      </w:r>
      <w:r>
        <w:rPr>
          <w:rFonts w:hint="eastAsia" w:ascii="仿宋_GB2312" w:hAnsi="仿宋_GB2312" w:cs="仿宋_GB2312"/>
          <w:bCs/>
          <w:color w:val="auto"/>
          <w:szCs w:val="32"/>
          <w:lang w:val="zh-CN" w:eastAsia="zh-CN"/>
        </w:rPr>
        <w:t>本案被执行人饶敦涛名下暂无可供执行财产，终结本次执行程序。</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本案于</w:t>
      </w:r>
      <w:r>
        <w:rPr>
          <w:rFonts w:hint="eastAsia" w:ascii="仿宋_GB2312" w:hAnsi="仿宋_GB2312" w:cs="仿宋_GB2312"/>
          <w:color w:val="auto"/>
          <w:szCs w:val="32"/>
          <w:lang w:eastAsia="zh-CN"/>
        </w:rPr>
        <w:t>2025年6月20日至2025年6月26日</w:t>
      </w:r>
      <w:r>
        <w:rPr>
          <w:rFonts w:hint="eastAsia" w:ascii="仿宋_GB2312" w:hAnsi="仿宋_GB2312" w:eastAsia="仿宋_GB2312" w:cs="仿宋_GB2312"/>
          <w:color w:val="auto"/>
          <w:szCs w:val="32"/>
        </w:rPr>
        <w:t>在狱内公示未收到不同意见。</w:t>
      </w:r>
    </w:p>
    <w:p>
      <w:pPr>
        <w:keepNext w:val="0"/>
        <w:keepLines w:val="0"/>
        <w:pageBreakBefore w:val="0"/>
        <w:widowControl w:val="0"/>
        <w:kinsoku/>
        <w:wordWrap/>
        <w:overflowPunct/>
        <w:topLinePunct w:val="0"/>
        <w:bidi w:val="0"/>
        <w:snapToGrid/>
        <w:spacing w:line="500" w:lineRule="exact"/>
        <w:ind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因此，依照《中华人民共和国刑法》第五十七条、第七十八条</w:t>
      </w:r>
      <w:r>
        <w:rPr>
          <w:rFonts w:hint="eastAsia" w:ascii="仿宋_GB2312" w:hAnsi="仿宋_GB2312" w:cs="仿宋_GB2312"/>
          <w:color w:val="auto"/>
          <w:szCs w:val="32"/>
          <w:lang w:eastAsia="zh-CN"/>
        </w:rPr>
        <w:t>，</w:t>
      </w:r>
      <w:r>
        <w:rPr>
          <w:rFonts w:hint="eastAsia" w:ascii="仿宋_GB2312" w:hAnsi="仿宋_GB2312" w:eastAsia="仿宋_GB2312" w:cs="仿宋_GB2312"/>
          <w:color w:val="auto"/>
          <w:szCs w:val="32"/>
        </w:rPr>
        <w:t>《中华人民共和国刑事诉讼法》第二百七十三条第二款</w:t>
      </w:r>
      <w:r>
        <w:rPr>
          <w:rFonts w:hint="eastAsia" w:ascii="仿宋_GB2312" w:hAnsi="仿宋_GB2312" w:eastAsia="仿宋_GB2312" w:cs="仿宋_GB2312"/>
          <w:color w:val="auto"/>
          <w:szCs w:val="32"/>
          <w:lang w:val="en-US" w:eastAsia="zh-CN"/>
        </w:rPr>
        <w:t>和</w:t>
      </w:r>
      <w:r>
        <w:rPr>
          <w:rFonts w:hint="eastAsia" w:ascii="仿宋_GB2312" w:hAnsi="仿宋_GB2312" w:eastAsia="仿宋_GB2312" w:cs="仿宋_GB2312"/>
          <w:color w:val="auto"/>
          <w:szCs w:val="32"/>
        </w:rPr>
        <w:t>《中华人民共和国监狱法》第二十九条规定，建议对罪犯</w:t>
      </w:r>
      <w:r>
        <w:rPr>
          <w:rFonts w:hint="eastAsia" w:ascii="仿宋_GB2312" w:hAnsi="仿宋_GB2312" w:cs="仿宋_GB2312"/>
          <w:color w:val="auto"/>
          <w:szCs w:val="32"/>
          <w:lang w:eastAsia="zh-CN"/>
        </w:rPr>
        <w:t>饶敦涛</w:t>
      </w:r>
      <w:r>
        <w:rPr>
          <w:rFonts w:hint="eastAsia" w:ascii="仿宋_GB2312" w:hAnsi="仿宋_GB2312" w:eastAsia="仿宋_GB2312" w:cs="仿宋_GB2312"/>
          <w:color w:val="auto"/>
          <w:szCs w:val="32"/>
        </w:rPr>
        <w:t>减为有期徒刑</w:t>
      </w:r>
      <w:r>
        <w:rPr>
          <w:rFonts w:hint="eastAsia" w:ascii="仿宋_GB2312" w:hAnsi="仿宋_GB2312" w:cs="仿宋_GB2312"/>
          <w:color w:val="auto"/>
          <w:szCs w:val="32"/>
          <w:lang w:eastAsia="zh-CN"/>
        </w:rPr>
        <w:t>二十五</w:t>
      </w:r>
      <w:r>
        <w:rPr>
          <w:rFonts w:hint="eastAsia" w:ascii="仿宋_GB2312" w:hAnsi="仿宋_GB2312" w:eastAsia="仿宋_GB2312" w:cs="仿宋_GB2312"/>
          <w:color w:val="auto"/>
          <w:szCs w:val="32"/>
        </w:rPr>
        <w:t>年，剥夺政治权利改为</w:t>
      </w:r>
      <w:r>
        <w:rPr>
          <w:rFonts w:hint="eastAsia" w:ascii="仿宋_GB2312" w:hAnsi="仿宋_GB2312" w:cs="仿宋_GB2312"/>
          <w:color w:val="auto"/>
          <w:szCs w:val="32"/>
          <w:lang w:eastAsia="zh-CN"/>
        </w:rPr>
        <w:t>十</w:t>
      </w:r>
      <w:r>
        <w:rPr>
          <w:rFonts w:hint="eastAsia" w:ascii="仿宋_GB2312" w:hAnsi="仿宋_GB2312" w:eastAsia="仿宋_GB2312" w:cs="仿宋_GB2312"/>
          <w:color w:val="auto"/>
          <w:szCs w:val="32"/>
        </w:rPr>
        <w:t>年。特提请你院审理裁定。</w:t>
      </w:r>
    </w:p>
    <w:p>
      <w:pPr>
        <w:pStyle w:val="2"/>
        <w:keepNext w:val="0"/>
        <w:keepLines w:val="0"/>
        <w:pageBreakBefore w:val="0"/>
        <w:widowControl w:val="0"/>
        <w:kinsoku/>
        <w:wordWrap/>
        <w:overflowPunct/>
        <w:topLinePunct w:val="0"/>
        <w:bidi w:val="0"/>
        <w:snapToGrid/>
        <w:spacing w:line="500" w:lineRule="exact"/>
        <w:ind w:right="-48" w:rightChars="-15" w:firstLine="640" w:firstLineChars="2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此致</w:t>
      </w:r>
    </w:p>
    <w:p>
      <w:pPr>
        <w:pStyle w:val="9"/>
        <w:keepNext w:val="0"/>
        <w:keepLines w:val="0"/>
        <w:pageBreakBefore w:val="0"/>
        <w:widowControl w:val="0"/>
        <w:kinsoku/>
        <w:wordWrap/>
        <w:overflowPunct/>
        <w:topLinePunct w:val="0"/>
        <w:bidi w:val="0"/>
        <w:snapToGrid/>
        <w:spacing w:line="500" w:lineRule="exact"/>
        <w:ind w:left="0" w:leftChars="0" w:right="-48" w:rightChars="-15"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福建省高级人民法院</w:t>
      </w:r>
    </w:p>
    <w:p>
      <w:pPr>
        <w:pStyle w:val="9"/>
        <w:keepNext w:val="0"/>
        <w:keepLines w:val="0"/>
        <w:pageBreakBefore w:val="0"/>
        <w:widowControl w:val="0"/>
        <w:kinsoku/>
        <w:wordWrap/>
        <w:overflowPunct/>
        <w:topLinePunct w:val="0"/>
        <w:bidi w:val="0"/>
        <w:snapToGrid/>
        <w:spacing w:line="500" w:lineRule="exact"/>
        <w:ind w:left="640" w:firstLine="0" w:firstLineChars="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附件：⒈罪犯</w:t>
      </w:r>
      <w:r>
        <w:rPr>
          <w:rFonts w:hint="eastAsia" w:ascii="仿宋_GB2312" w:hAnsi="仿宋_GB2312" w:cs="仿宋_GB2312"/>
          <w:color w:val="auto"/>
          <w:szCs w:val="32"/>
          <w:lang w:eastAsia="zh-CN"/>
        </w:rPr>
        <w:t>饶敦涛</w:t>
      </w:r>
      <w:r>
        <w:rPr>
          <w:rFonts w:hint="eastAsia" w:ascii="仿宋_GB2312" w:hAnsi="仿宋_GB2312" w:eastAsia="仿宋_GB2312" w:cs="仿宋_GB2312"/>
          <w:color w:val="auto"/>
          <w:szCs w:val="32"/>
        </w:rPr>
        <w:t>卷宗</w:t>
      </w:r>
      <w:r>
        <w:rPr>
          <w:rFonts w:hint="eastAsia" w:ascii="仿宋_GB2312" w:hAnsi="仿宋_GB2312" w:cs="仿宋_GB2312"/>
          <w:color w:val="auto"/>
          <w:szCs w:val="32"/>
          <w:lang w:val="en-US" w:eastAsia="zh-CN"/>
        </w:rPr>
        <w:t>二</w:t>
      </w:r>
      <w:r>
        <w:rPr>
          <w:rFonts w:hint="eastAsia" w:ascii="仿宋_GB2312" w:hAnsi="仿宋_GB2312" w:eastAsia="仿宋_GB2312" w:cs="仿宋_GB2312"/>
          <w:color w:val="auto"/>
          <w:szCs w:val="32"/>
        </w:rPr>
        <w:t>册</w:t>
      </w:r>
    </w:p>
    <w:p>
      <w:pPr>
        <w:pStyle w:val="9"/>
        <w:keepNext w:val="0"/>
        <w:keepLines w:val="0"/>
        <w:pageBreakBefore w:val="0"/>
        <w:widowControl w:val="0"/>
        <w:kinsoku/>
        <w:wordWrap/>
        <w:overflowPunct/>
        <w:topLinePunct w:val="0"/>
        <w:bidi w:val="0"/>
        <w:snapToGrid/>
        <w:spacing w:line="500" w:lineRule="exact"/>
        <w:ind w:left="640" w:right="-48" w:rightChars="-15" w:firstLine="960" w:firstLineChars="3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⒉减刑建议书</w:t>
      </w:r>
      <w:r>
        <w:rPr>
          <w:rFonts w:hint="eastAsia" w:ascii="仿宋_GB2312" w:hAnsi="仿宋_GB2312" w:cs="仿宋_GB2312"/>
          <w:color w:val="auto"/>
          <w:szCs w:val="32"/>
          <w:lang w:val="en-US" w:eastAsia="zh-CN"/>
        </w:rPr>
        <w:t>五</w:t>
      </w:r>
      <w:r>
        <w:rPr>
          <w:rFonts w:hint="eastAsia" w:ascii="仿宋_GB2312" w:hAnsi="仿宋_GB2312" w:eastAsia="仿宋_GB2312" w:cs="仿宋_GB2312"/>
          <w:color w:val="auto"/>
          <w:szCs w:val="32"/>
        </w:rPr>
        <w:t>份</w:t>
      </w:r>
    </w:p>
    <w:p>
      <w:pPr>
        <w:keepNext w:val="0"/>
        <w:keepLines w:val="0"/>
        <w:pageBreakBefore w:val="0"/>
        <w:widowControl w:val="0"/>
        <w:kinsoku/>
        <w:wordWrap/>
        <w:overflowPunct/>
        <w:topLinePunct w:val="0"/>
        <w:bidi w:val="0"/>
        <w:snapToGrid/>
        <w:spacing w:line="500" w:lineRule="exact"/>
        <w:jc w:val="left"/>
        <w:textAlignment w:val="auto"/>
        <w:rPr>
          <w:rFonts w:hint="eastAsia" w:ascii="仿宋_GB2312" w:hAnsi="仿宋_GB2312" w:eastAsia="仿宋_GB2312" w:cs="仿宋_GB2312"/>
          <w:color w:val="auto"/>
        </w:rPr>
      </w:pPr>
    </w:p>
    <w:p>
      <w:pPr>
        <w:keepNext w:val="0"/>
        <w:keepLines w:val="0"/>
        <w:pageBreakBefore w:val="0"/>
        <w:widowControl w:val="0"/>
        <w:kinsoku/>
        <w:wordWrap/>
        <w:overflowPunct/>
        <w:topLinePunct w:val="0"/>
        <w:bidi w:val="0"/>
        <w:snapToGrid/>
        <w:spacing w:line="500" w:lineRule="exact"/>
        <w:jc w:val="left"/>
        <w:textAlignment w:val="auto"/>
        <w:rPr>
          <w:rFonts w:hint="eastAsia" w:ascii="仿宋_GB2312" w:hAnsi="仿宋_GB2312" w:eastAsia="仿宋_GB2312" w:cs="仿宋_GB2312"/>
          <w:color w:val="auto"/>
        </w:rPr>
      </w:pPr>
    </w:p>
    <w:p>
      <w:pPr>
        <w:pStyle w:val="2"/>
        <w:keepNext w:val="0"/>
        <w:keepLines w:val="0"/>
        <w:pageBreakBefore w:val="0"/>
        <w:widowControl w:val="0"/>
        <w:kinsoku/>
        <w:wordWrap/>
        <w:overflowPunct/>
        <w:topLinePunct w:val="0"/>
        <w:autoSpaceDE/>
        <w:autoSpaceDN/>
        <w:bidi w:val="0"/>
        <w:adjustRightInd/>
        <w:snapToGrid/>
        <w:spacing w:line="500" w:lineRule="exact"/>
        <w:ind w:right="-14" w:rightChars="0" w:firstLine="5120" w:firstLineChars="1600"/>
        <w:jc w:val="left"/>
        <w:textAlignment w:val="auto"/>
        <w:rPr>
          <w:rFonts w:hint="eastAsia" w:ascii="仿宋_GB2312" w:hAnsi="仿宋_GB2312" w:eastAsia="仿宋_GB2312" w:cs="仿宋_GB2312"/>
          <w:color w:val="auto"/>
          <w:szCs w:val="32"/>
        </w:rPr>
      </w:pPr>
      <w:r>
        <w:rPr>
          <w:rFonts w:hint="eastAsia" w:ascii="仿宋_GB2312" w:hAnsi="仿宋_GB2312" w:eastAsia="仿宋_GB2312" w:cs="仿宋_GB2312"/>
          <w:color w:val="auto"/>
          <w:szCs w:val="32"/>
        </w:rPr>
        <w:t>福建省</w:t>
      </w:r>
      <w:r>
        <w:rPr>
          <w:rFonts w:hint="eastAsia" w:ascii="仿宋_GB2312" w:hAnsi="仿宋_GB2312" w:cs="仿宋_GB2312"/>
          <w:color w:val="auto"/>
          <w:szCs w:val="32"/>
          <w:lang w:val="en-US" w:eastAsia="zh-CN"/>
        </w:rPr>
        <w:t>漳州</w:t>
      </w:r>
      <w:r>
        <w:rPr>
          <w:rFonts w:hint="eastAsia" w:ascii="仿宋_GB2312" w:hAnsi="仿宋_GB2312" w:eastAsia="仿宋_GB2312" w:cs="仿宋_GB2312"/>
          <w:color w:val="auto"/>
          <w:szCs w:val="32"/>
        </w:rPr>
        <w:t>监狱</w:t>
      </w:r>
    </w:p>
    <w:p>
      <w:pPr>
        <w:keepNext w:val="0"/>
        <w:keepLines w:val="0"/>
        <w:pageBreakBefore w:val="0"/>
        <w:widowControl w:val="0"/>
        <w:kinsoku/>
        <w:wordWrap/>
        <w:overflowPunct/>
        <w:topLinePunct w:val="0"/>
        <w:autoSpaceDE/>
        <w:autoSpaceDN/>
        <w:bidi w:val="0"/>
        <w:adjustRightInd/>
        <w:snapToGrid/>
        <w:spacing w:line="500" w:lineRule="exact"/>
        <w:ind w:right="-14" w:rightChars="0" w:firstLine="5120" w:firstLineChars="1600"/>
        <w:jc w:val="left"/>
        <w:textAlignment w:val="auto"/>
        <w:rPr>
          <w:rFonts w:hint="eastAsia" w:eastAsia="楷体_GB2312" w:cs="楷体_GB2312"/>
          <w:szCs w:val="32"/>
          <w:lang w:eastAsia="zh-CN"/>
        </w:rPr>
      </w:pPr>
      <w:r>
        <w:rPr>
          <w:rFonts w:hint="eastAsia" w:ascii="仿宋_GB2312" w:hAnsi="仿宋_GB2312" w:cs="仿宋_GB2312"/>
          <w:color w:val="auto"/>
          <w:szCs w:val="32"/>
          <w:lang w:val="en-US" w:eastAsia="zh-CN"/>
        </w:rPr>
        <w:t>2025</w:t>
      </w:r>
      <w:r>
        <w:rPr>
          <w:rFonts w:hint="eastAsia" w:ascii="仿宋_GB2312" w:hAnsi="仿宋_GB2312" w:eastAsia="仿宋_GB2312" w:cs="仿宋_GB2312"/>
          <w:color w:val="auto"/>
          <w:szCs w:val="32"/>
        </w:rPr>
        <w:t>年</w:t>
      </w:r>
      <w:r>
        <w:rPr>
          <w:rFonts w:hint="eastAsia" w:ascii="仿宋_GB2312" w:hAnsi="仿宋_GB2312" w:cs="仿宋_GB2312"/>
          <w:color w:val="auto"/>
          <w:szCs w:val="32"/>
          <w:lang w:val="en-US" w:eastAsia="zh-CN"/>
        </w:rPr>
        <w:t>6</w:t>
      </w:r>
      <w:r>
        <w:rPr>
          <w:rFonts w:hint="eastAsia" w:ascii="仿宋_GB2312" w:hAnsi="仿宋_GB2312" w:eastAsia="仿宋_GB2312" w:cs="仿宋_GB2312"/>
          <w:color w:val="auto"/>
          <w:szCs w:val="32"/>
        </w:rPr>
        <w:t>月</w:t>
      </w:r>
      <w:r>
        <w:rPr>
          <w:rFonts w:hint="eastAsia" w:ascii="仿宋_GB2312" w:hAnsi="仿宋_GB2312" w:cs="仿宋_GB2312"/>
          <w:color w:val="auto"/>
          <w:szCs w:val="32"/>
          <w:lang w:val="en-US" w:eastAsia="zh-CN"/>
        </w:rPr>
        <w:t>30</w:t>
      </w:r>
      <w:r>
        <w:rPr>
          <w:rFonts w:hint="eastAsia" w:ascii="仿宋_GB2312" w:hAnsi="仿宋_GB2312" w:eastAsia="仿宋_GB2312" w:cs="仿宋_GB2312"/>
          <w:color w:val="auto"/>
          <w:szCs w:val="32"/>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华文仿宋">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566F0"/>
    <w:rsid w:val="00040D1F"/>
    <w:rsid w:val="000910CE"/>
    <w:rsid w:val="000B24B2"/>
    <w:rsid w:val="000D089D"/>
    <w:rsid w:val="0010570A"/>
    <w:rsid w:val="00125788"/>
    <w:rsid w:val="001359E6"/>
    <w:rsid w:val="00165CB0"/>
    <w:rsid w:val="001C2201"/>
    <w:rsid w:val="001C6165"/>
    <w:rsid w:val="001D1FFF"/>
    <w:rsid w:val="00201852"/>
    <w:rsid w:val="00202400"/>
    <w:rsid w:val="00220616"/>
    <w:rsid w:val="00246AAF"/>
    <w:rsid w:val="002C1CF2"/>
    <w:rsid w:val="002D261F"/>
    <w:rsid w:val="00300F2C"/>
    <w:rsid w:val="00321902"/>
    <w:rsid w:val="0034096E"/>
    <w:rsid w:val="00356D24"/>
    <w:rsid w:val="003C59AC"/>
    <w:rsid w:val="003F0732"/>
    <w:rsid w:val="004147EB"/>
    <w:rsid w:val="0044482F"/>
    <w:rsid w:val="004A47D0"/>
    <w:rsid w:val="004D086A"/>
    <w:rsid w:val="0056091F"/>
    <w:rsid w:val="005B2349"/>
    <w:rsid w:val="005D65C1"/>
    <w:rsid w:val="005E7E75"/>
    <w:rsid w:val="00601D24"/>
    <w:rsid w:val="00691687"/>
    <w:rsid w:val="006A63F8"/>
    <w:rsid w:val="00717439"/>
    <w:rsid w:val="00791DCE"/>
    <w:rsid w:val="00831860"/>
    <w:rsid w:val="00846799"/>
    <w:rsid w:val="008C57FE"/>
    <w:rsid w:val="009141B6"/>
    <w:rsid w:val="0091471F"/>
    <w:rsid w:val="00927F9B"/>
    <w:rsid w:val="00943AD0"/>
    <w:rsid w:val="0094451B"/>
    <w:rsid w:val="0096455C"/>
    <w:rsid w:val="00984FAB"/>
    <w:rsid w:val="009C68A3"/>
    <w:rsid w:val="00A47728"/>
    <w:rsid w:val="00A875FF"/>
    <w:rsid w:val="00AB3592"/>
    <w:rsid w:val="00AD0494"/>
    <w:rsid w:val="00AD3AC7"/>
    <w:rsid w:val="00AE375A"/>
    <w:rsid w:val="00B317E7"/>
    <w:rsid w:val="00B566F0"/>
    <w:rsid w:val="00B823FB"/>
    <w:rsid w:val="00B94F18"/>
    <w:rsid w:val="00C00144"/>
    <w:rsid w:val="00C05381"/>
    <w:rsid w:val="00C1652D"/>
    <w:rsid w:val="00C1692F"/>
    <w:rsid w:val="00CC5737"/>
    <w:rsid w:val="00D07B7A"/>
    <w:rsid w:val="00D81DD2"/>
    <w:rsid w:val="00E0645B"/>
    <w:rsid w:val="00E25738"/>
    <w:rsid w:val="00E71278"/>
    <w:rsid w:val="00EB3B84"/>
    <w:rsid w:val="00EE4C5B"/>
    <w:rsid w:val="00FE4A02"/>
    <w:rsid w:val="036A5E04"/>
    <w:rsid w:val="075546F5"/>
    <w:rsid w:val="078C6784"/>
    <w:rsid w:val="0B032DBB"/>
    <w:rsid w:val="0C6E1544"/>
    <w:rsid w:val="0E9D39B7"/>
    <w:rsid w:val="0EEF0183"/>
    <w:rsid w:val="1219101B"/>
    <w:rsid w:val="12DB2CF7"/>
    <w:rsid w:val="15D93A3C"/>
    <w:rsid w:val="1B7C3D38"/>
    <w:rsid w:val="1C595CF1"/>
    <w:rsid w:val="1D453D13"/>
    <w:rsid w:val="1FE03E2B"/>
    <w:rsid w:val="2027184D"/>
    <w:rsid w:val="2114237A"/>
    <w:rsid w:val="22B155AE"/>
    <w:rsid w:val="23212818"/>
    <w:rsid w:val="2626689D"/>
    <w:rsid w:val="27B22717"/>
    <w:rsid w:val="2A3B64D2"/>
    <w:rsid w:val="2C3550D4"/>
    <w:rsid w:val="2EAF0314"/>
    <w:rsid w:val="2FA3126B"/>
    <w:rsid w:val="310006C2"/>
    <w:rsid w:val="317C2C76"/>
    <w:rsid w:val="31DC6C3C"/>
    <w:rsid w:val="33B031EA"/>
    <w:rsid w:val="35922F75"/>
    <w:rsid w:val="366E10CC"/>
    <w:rsid w:val="371643C5"/>
    <w:rsid w:val="39864127"/>
    <w:rsid w:val="39C1344E"/>
    <w:rsid w:val="3A0B4CAB"/>
    <w:rsid w:val="3B02271A"/>
    <w:rsid w:val="3C835306"/>
    <w:rsid w:val="3D42560E"/>
    <w:rsid w:val="3D5A65CA"/>
    <w:rsid w:val="3EF041C9"/>
    <w:rsid w:val="3FE17A60"/>
    <w:rsid w:val="40307287"/>
    <w:rsid w:val="40D516CD"/>
    <w:rsid w:val="41E940B3"/>
    <w:rsid w:val="42A47A82"/>
    <w:rsid w:val="44B71804"/>
    <w:rsid w:val="450155C4"/>
    <w:rsid w:val="453271AB"/>
    <w:rsid w:val="459A0768"/>
    <w:rsid w:val="471D6BB8"/>
    <w:rsid w:val="496D5C2E"/>
    <w:rsid w:val="4A024AA2"/>
    <w:rsid w:val="4B745E6C"/>
    <w:rsid w:val="4B897A7D"/>
    <w:rsid w:val="4E1B5A61"/>
    <w:rsid w:val="500C5BAE"/>
    <w:rsid w:val="50FF64A6"/>
    <w:rsid w:val="58AB0C8B"/>
    <w:rsid w:val="58FE48D4"/>
    <w:rsid w:val="59C11342"/>
    <w:rsid w:val="622C03DE"/>
    <w:rsid w:val="6391562E"/>
    <w:rsid w:val="68DF072D"/>
    <w:rsid w:val="6A0A5681"/>
    <w:rsid w:val="6A5C5FF0"/>
    <w:rsid w:val="6DC60AD6"/>
    <w:rsid w:val="6FFD5DDE"/>
    <w:rsid w:val="70013651"/>
    <w:rsid w:val="72210150"/>
    <w:rsid w:val="77E34CC3"/>
    <w:rsid w:val="79BB7B32"/>
    <w:rsid w:val="7BAC215F"/>
    <w:rsid w:val="7CF73B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32"/>
      <w:sz w:val="32"/>
      <w:szCs w:val="20"/>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0"/>
    <w:qFormat/>
    <w:uiPriority w:val="99"/>
    <w:rPr>
      <w:rFonts w:ascii="Times New Roman" w:hAnsi="Times New Roman"/>
    </w:rPr>
  </w:style>
  <w:style w:type="paragraph" w:styleId="3">
    <w:name w:val="footer"/>
    <w:basedOn w:val="1"/>
    <w:link w:val="8"/>
    <w:semiHidden/>
    <w:unhideWhenUsed/>
    <w:qFormat/>
    <w:uiPriority w:val="99"/>
    <w:pPr>
      <w:tabs>
        <w:tab w:val="center" w:pos="4153"/>
        <w:tab w:val="right" w:pos="8306"/>
      </w:tabs>
      <w:snapToGrid w:val="0"/>
      <w:jc w:val="left"/>
    </w:pPr>
    <w:rPr>
      <w:rFonts w:asciiTheme="minorHAnsi" w:hAnsiTheme="minorHAnsi" w:eastAsiaTheme="minorEastAsia" w:cstheme="minorBidi"/>
      <w:kern w:val="2"/>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kern w:val="2"/>
      <w:sz w:val="18"/>
      <w:szCs w:val="18"/>
    </w:rPr>
  </w:style>
  <w:style w:type="character" w:customStyle="1" w:styleId="7">
    <w:name w:val="页眉 Char"/>
    <w:basedOn w:val="6"/>
    <w:link w:val="4"/>
    <w:qFormat/>
    <w:uiPriority w:val="0"/>
    <w:rPr>
      <w:sz w:val="18"/>
      <w:szCs w:val="18"/>
    </w:rPr>
  </w:style>
  <w:style w:type="character" w:customStyle="1" w:styleId="8">
    <w:name w:val="页脚 Char"/>
    <w:basedOn w:val="6"/>
    <w:link w:val="3"/>
    <w:semiHidden/>
    <w:qFormat/>
    <w:uiPriority w:val="99"/>
    <w:rPr>
      <w:sz w:val="18"/>
      <w:szCs w:val="18"/>
    </w:rPr>
  </w:style>
  <w:style w:type="paragraph" w:customStyle="1" w:styleId="9">
    <w:name w:val="列表段落1"/>
    <w:basedOn w:val="1"/>
    <w:qFormat/>
    <w:uiPriority w:val="99"/>
    <w:pPr>
      <w:ind w:firstLine="420" w:firstLineChars="200"/>
    </w:pPr>
    <w:rPr>
      <w:rFonts w:ascii="Times New Roman" w:hAnsi="Times New Roman"/>
    </w:rPr>
  </w:style>
  <w:style w:type="character" w:customStyle="1" w:styleId="10">
    <w:name w:val="称呼 Char"/>
    <w:basedOn w:val="6"/>
    <w:link w:val="2"/>
    <w:qFormat/>
    <w:uiPriority w:val="99"/>
    <w:rPr>
      <w:rFonts w:ascii="Times New Roman" w:hAnsi="Times New Roman" w:eastAsia="仿宋_GB2312" w:cs="Times New Roman"/>
      <w:kern w:val="32"/>
      <w:sz w:val="32"/>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157</Words>
  <Characters>901</Characters>
  <Lines>7</Lines>
  <Paragraphs>2</Paragraphs>
  <TotalTime>6</TotalTime>
  <ScaleCrop>false</ScaleCrop>
  <LinksUpToDate>false</LinksUpToDate>
  <CharactersWithSpaces>1056</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2024-02-22T07:00:00Z</dcterms:created>
  <dc:creator>Administrator</dc:creator>
  <cp:lastModifiedBy>陈李秋</cp:lastModifiedBy>
  <cp:lastPrinted>2024-09-09T08:16:00Z</cp:lastPrinted>
  <dcterms:modified xsi:type="dcterms:W3CDTF">2025-06-30T02:11:09Z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60A6E46C6C414CF998BADBF1EE85BE0B</vt:lpwstr>
  </property>
</Properties>
</file>