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宋体" w:eastAsia="方正小标宋简体" w:cs="方正小标宋简体"/>
          <w:sz w:val="44"/>
          <w:szCs w:val="44"/>
        </w:rPr>
      </w:pPr>
      <w:r>
        <w:rPr>
          <w:rFonts w:hint="eastAsia" w:ascii="方正小标宋简体" w:hAnsi="宋体" w:eastAsia="方正小标宋简体" w:cs="方正小标宋简体"/>
          <w:sz w:val="44"/>
          <w:szCs w:val="44"/>
        </w:rPr>
        <w:t>福建省漳州监狱</w:t>
      </w:r>
    </w:p>
    <w:p>
      <w:pPr>
        <w:snapToGrid w:val="0"/>
        <w:spacing w:line="600" w:lineRule="exact"/>
        <w:jc w:val="center"/>
        <w:rPr>
          <w:rFonts w:ascii="方正小标宋简体" w:hAnsi="宋体" w:eastAsia="方正小标宋简体" w:cs="方正小标宋简体"/>
          <w:sz w:val="44"/>
          <w:szCs w:val="44"/>
        </w:rPr>
      </w:pPr>
      <w:r>
        <w:rPr>
          <w:rFonts w:hint="eastAsia" w:ascii="方正小标宋简体" w:hAnsi="宋体" w:eastAsia="方正小标宋简体" w:cs="方正小标宋简体"/>
          <w:sz w:val="44"/>
          <w:szCs w:val="44"/>
        </w:rPr>
        <w:t>提请减刑建议书</w:t>
      </w:r>
    </w:p>
    <w:p>
      <w:pPr>
        <w:wordWrap w:val="0"/>
        <w:jc w:val="right"/>
        <w:rPr>
          <w:rFonts w:ascii="楷体_GB2312" w:hAnsi="华文仿宋" w:eastAsia="楷体_GB2312" w:cs="楷体_GB2312"/>
          <w:szCs w:val="32"/>
        </w:rPr>
      </w:pPr>
      <w:r>
        <w:rPr>
          <w:rFonts w:hint="eastAsia" w:ascii="楷体_GB2312" w:hAnsi="华文仿宋" w:eastAsia="楷体_GB2312" w:cs="楷体_GB2312"/>
          <w:szCs w:val="32"/>
        </w:rPr>
        <w:t>〔202</w:t>
      </w:r>
      <w:r>
        <w:rPr>
          <w:rFonts w:hint="eastAsia" w:ascii="楷体_GB2312" w:hAnsi="华文仿宋" w:eastAsia="楷体_GB2312" w:cs="楷体_GB2312"/>
          <w:szCs w:val="32"/>
          <w:lang w:val="en-US" w:eastAsia="zh-CN"/>
        </w:rPr>
        <w:t>5</w:t>
      </w:r>
      <w:r>
        <w:rPr>
          <w:rFonts w:hint="eastAsia" w:ascii="楷体_GB2312" w:hAnsi="华文仿宋" w:eastAsia="楷体_GB2312" w:cs="楷体_GB2312"/>
          <w:szCs w:val="32"/>
        </w:rPr>
        <w:t>〕闽漳狱减字第</w:t>
      </w:r>
      <w:r>
        <w:rPr>
          <w:rFonts w:hint="eastAsia" w:ascii="楷体_GB2312" w:hAnsi="华文仿宋" w:eastAsia="楷体_GB2312" w:cs="楷体_GB2312"/>
          <w:szCs w:val="32"/>
          <w:lang w:val="en-US" w:eastAsia="zh-CN"/>
        </w:rPr>
        <w:t>4033</w:t>
      </w:r>
      <w:r>
        <w:rPr>
          <w:rFonts w:hint="eastAsia" w:ascii="楷体_GB2312" w:hAnsi="华文仿宋" w:eastAsia="楷体_GB2312" w:cs="楷体_GB2312"/>
          <w:szCs w:val="32"/>
        </w:rPr>
        <w:t>号</w:t>
      </w:r>
    </w:p>
    <w:p>
      <w:pPr>
        <w:keepNext w:val="0"/>
        <w:keepLines w:val="0"/>
        <w:pageBreakBefore w:val="0"/>
        <w:widowControl w:val="0"/>
        <w:kinsoku/>
        <w:wordWrap/>
        <w:overflowPunct/>
        <w:topLinePunct w:val="0"/>
        <w:bidi w:val="0"/>
        <w:spacing w:line="60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罪犯欧阳平</w:t>
      </w: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AUTOTEXTLIST  \* MERGEFORMAT </w:instrText>
      </w:r>
      <w:r>
        <w:rPr>
          <w:rFonts w:hint="eastAsia" w:ascii="仿宋_GB2312" w:hAnsi="仿宋_GB2312" w:eastAsia="仿宋_GB2312" w:cs="仿宋_GB2312"/>
          <w:szCs w:val="32"/>
        </w:rPr>
        <w:fldChar w:fldCharType="end"/>
      </w:r>
      <w:r>
        <w:rPr>
          <w:rFonts w:hint="eastAsia" w:ascii="仿宋_GB2312" w:hAnsi="仿宋_GB2312" w:eastAsia="仿宋_GB2312" w:cs="仿宋_GB2312"/>
          <w:szCs w:val="32"/>
        </w:rPr>
        <w:t>，男，1976年4月24日出生，汉族，大专文化，户籍所在地台湾地区嘉义县</w:t>
      </w:r>
      <w:bookmarkStart w:id="0" w:name="_GoBack"/>
      <w:bookmarkEnd w:id="0"/>
      <w:r>
        <w:rPr>
          <w:rFonts w:hint="eastAsia" w:ascii="仿宋_GB2312" w:hAnsi="仿宋_GB2312" w:eastAsia="仿宋_GB2312" w:cs="仿宋_GB2312"/>
          <w:szCs w:val="32"/>
        </w:rPr>
        <w:t>，捕前</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rPr>
        <w:t>无固定职业。</w:t>
      </w:r>
    </w:p>
    <w:p>
      <w:pPr>
        <w:keepNext w:val="0"/>
        <w:keepLines w:val="0"/>
        <w:pageBreakBefore w:val="0"/>
        <w:widowControl w:val="0"/>
        <w:kinsoku/>
        <w:wordWrap/>
        <w:overflowPunct/>
        <w:topLinePunct w:val="0"/>
        <w:bidi w:val="0"/>
        <w:spacing w:line="60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漳州市中级人民法院于2017年10月12日作出(2016)闽06刑初30号刑事判决，以被告人欧阳平犯贩卖、运输毒品罪，判处死刑，缓期二年执行，剥夺政治权利终身，并处没收个人全部财产（已缴交的人民币100万元并入没收其个人财产项执行），</w:t>
      </w:r>
      <w:r>
        <w:rPr>
          <w:rFonts w:hint="eastAsia" w:ascii="仿宋_GB2312" w:hAnsi="仿宋_GB2312" w:eastAsia="仿宋_GB2312" w:cs="仿宋_GB2312"/>
          <w:szCs w:val="32"/>
          <w:lang w:eastAsia="zh-CN"/>
        </w:rPr>
        <w:t>向欧阳平扣押的台币</w:t>
      </w:r>
      <w:r>
        <w:rPr>
          <w:rFonts w:hint="eastAsia" w:ascii="仿宋_GB2312" w:hAnsi="仿宋_GB2312" w:eastAsia="仿宋_GB2312" w:cs="仿宋_GB2312"/>
          <w:szCs w:val="32"/>
          <w:lang w:val="en-US" w:eastAsia="zh-CN"/>
        </w:rPr>
        <w:t>10700元，港币350元，马来西亚币551令吉，人民币2100元、99989.17元及416318.57元，手表一块，并入没收其个人财产项执行，</w:t>
      </w:r>
      <w:r>
        <w:rPr>
          <w:rFonts w:hint="eastAsia" w:ascii="仿宋_GB2312" w:hAnsi="仿宋_GB2312" w:eastAsia="仿宋_GB2312" w:cs="仿宋_GB2312"/>
          <w:szCs w:val="32"/>
          <w:lang w:eastAsia="zh-CN"/>
        </w:rPr>
        <w:t>被告人欧阳平的违法所得，继续予以追缴，上缴国库</w:t>
      </w:r>
      <w:r>
        <w:rPr>
          <w:rFonts w:hint="eastAsia" w:ascii="仿宋_GB2312" w:hAnsi="仿宋_GB2312" w:eastAsia="仿宋_GB2312" w:cs="仿宋_GB2312"/>
          <w:szCs w:val="32"/>
        </w:rPr>
        <w:t>。宣判后，该犯不服，提出上诉</w:t>
      </w:r>
      <w:r>
        <w:rPr>
          <w:rFonts w:hint="eastAsia" w:ascii="仿宋_GB2312" w:hAnsi="仿宋_GB2312" w:eastAsia="仿宋_GB2312" w:cs="仿宋_GB2312"/>
          <w:szCs w:val="32"/>
          <w:lang w:eastAsia="zh-CN"/>
        </w:rPr>
        <w:t>。</w:t>
      </w:r>
      <w:r>
        <w:rPr>
          <w:rFonts w:hint="eastAsia" w:ascii="仿宋_GB2312" w:hAnsi="仿宋_GB2312" w:eastAsia="仿宋_GB2312" w:cs="仿宋_GB2312"/>
          <w:szCs w:val="32"/>
        </w:rPr>
        <w:t>福建省高级人民法院于2018年10月29日作出（2018）闽刑终51号刑事判决，驳回上诉人欧阳平的上诉，维持</w:t>
      </w:r>
      <w:r>
        <w:rPr>
          <w:rFonts w:hint="eastAsia" w:ascii="仿宋_GB2312" w:hAnsi="仿宋_GB2312" w:eastAsia="仿宋_GB2312" w:cs="仿宋_GB2312"/>
          <w:szCs w:val="32"/>
          <w:lang w:eastAsia="zh-CN"/>
        </w:rPr>
        <w:t>漳州市中级人民法院（</w:t>
      </w:r>
      <w:r>
        <w:rPr>
          <w:rFonts w:hint="eastAsia" w:ascii="仿宋_GB2312" w:hAnsi="仿宋_GB2312" w:eastAsia="仿宋_GB2312" w:cs="仿宋_GB2312"/>
          <w:szCs w:val="32"/>
          <w:lang w:val="en-US" w:eastAsia="zh-CN"/>
        </w:rPr>
        <w:t>2016</w:t>
      </w:r>
      <w:r>
        <w:rPr>
          <w:rFonts w:hint="eastAsia" w:ascii="仿宋_GB2312" w:hAnsi="仿宋_GB2312" w:eastAsia="仿宋_GB2312" w:cs="仿宋_GB2312"/>
          <w:szCs w:val="32"/>
          <w:lang w:eastAsia="zh-CN"/>
        </w:rPr>
        <w:t>）闽</w:t>
      </w:r>
      <w:r>
        <w:rPr>
          <w:rFonts w:hint="eastAsia" w:ascii="仿宋_GB2312" w:hAnsi="仿宋_GB2312" w:eastAsia="仿宋_GB2312" w:cs="仿宋_GB2312"/>
          <w:szCs w:val="32"/>
          <w:lang w:val="en-US" w:eastAsia="zh-CN"/>
        </w:rPr>
        <w:t>06刑初30号刑事判决中对被告人欧阳平的定罪量刑和对扣押毒品、财物的处理以及继续追缴四被告人违法所得，上缴国库的判决。</w:t>
      </w:r>
      <w:r>
        <w:rPr>
          <w:rFonts w:hint="eastAsia" w:ascii="仿宋_GB2312" w:hAnsi="仿宋_GB2312" w:eastAsia="仿宋_GB2312" w:cs="仿宋_GB2312"/>
          <w:szCs w:val="32"/>
        </w:rPr>
        <w:t>本判决即为核准漳州市中级人民法院（2016）闽06刑初30号刑事判决中以贩卖、运输毒品罪判处被告人欧阳平死刑，缓期二年执行，剥夺政治权利终身，并处没收个人全部财产的刑事判决。</w:t>
      </w:r>
      <w:r>
        <w:rPr>
          <w:rFonts w:hint="eastAsia" w:ascii="仿宋_GB2312" w:hAnsi="仿宋_GB2312" w:eastAsia="仿宋_GB2312" w:cs="仿宋_GB2312"/>
          <w:szCs w:val="32"/>
          <w:lang w:eastAsia="zh-CN"/>
        </w:rPr>
        <w:t>死刑缓期执行期自</w:t>
      </w:r>
      <w:r>
        <w:rPr>
          <w:rFonts w:hint="eastAsia" w:ascii="仿宋_GB2312" w:hAnsi="仿宋_GB2312" w:eastAsia="仿宋_GB2312" w:cs="仿宋_GB2312"/>
          <w:szCs w:val="32"/>
          <w:lang w:val="en-US" w:eastAsia="zh-CN"/>
        </w:rPr>
        <w:t>2018年11月22日起至2020年11月21日止。</w:t>
      </w:r>
      <w:r>
        <w:rPr>
          <w:rFonts w:hint="eastAsia" w:ascii="仿宋_GB2312" w:hAnsi="仿宋_GB2312" w:eastAsia="仿宋_GB2312" w:cs="仿宋_GB2312"/>
          <w:szCs w:val="32"/>
        </w:rPr>
        <w:t>2019年2月25日交付福建省漳州监狱执行刑罚。2021年6月24日，福建省高级人民法院以（2021）闽刑更48号刑事裁定书，对其减为无期徒刑，剥夺政治权利终身不变，2021年7月23日送达。属普管级罪犯。</w:t>
      </w:r>
    </w:p>
    <w:p>
      <w:pPr>
        <w:keepNext w:val="0"/>
        <w:keepLines w:val="0"/>
        <w:pageBreakBefore w:val="0"/>
        <w:widowControl w:val="0"/>
        <w:kinsoku/>
        <w:wordWrap/>
        <w:overflowPunct/>
        <w:topLinePunct w:val="0"/>
        <w:bidi w:val="0"/>
        <w:spacing w:line="60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lang w:eastAsia="zh-CN"/>
        </w:rPr>
        <w:t>罪犯欧阳平在死缓期间没有故意犯罪，无期期间确有悔改表现，自入监以来表现如下</w:t>
      </w:r>
      <w:r>
        <w:rPr>
          <w:rFonts w:hint="eastAsia" w:ascii="仿宋_GB2312" w:hAnsi="仿宋_GB2312" w:eastAsia="仿宋_GB2312" w:cs="仿宋_GB2312"/>
          <w:szCs w:val="32"/>
        </w:rPr>
        <w:t>：</w:t>
      </w:r>
    </w:p>
    <w:p>
      <w:pPr>
        <w:pStyle w:val="9"/>
        <w:keepNext w:val="0"/>
        <w:keepLines w:val="0"/>
        <w:pageBreakBefore w:val="0"/>
        <w:widowControl w:val="0"/>
        <w:kinsoku/>
        <w:wordWrap/>
        <w:overflowPunct/>
        <w:topLinePunct w:val="0"/>
        <w:autoSpaceDE w:val="0"/>
        <w:autoSpaceDN w:val="0"/>
        <w:bidi w:val="0"/>
        <w:adjustRightInd w:val="0"/>
        <w:spacing w:line="600" w:lineRule="exact"/>
        <w:ind w:firstLine="640" w:firstLineChars="200"/>
        <w:jc w:val="left"/>
        <w:textAlignment w:val="auto"/>
        <w:rPr>
          <w:rFonts w:hint="eastAsia" w:ascii="仿宋_GB2312" w:hAnsi="仿宋_GB2312" w:eastAsia="仿宋_GB2312" w:cs="仿宋_GB2312"/>
          <w:iCs/>
          <w:kern w:val="2"/>
          <w:szCs w:val="32"/>
        </w:rPr>
      </w:pPr>
      <w:r>
        <w:rPr>
          <w:rFonts w:hint="eastAsia" w:ascii="仿宋_GB2312" w:hAnsi="仿宋_GB2312" w:eastAsia="仿宋_GB2312" w:cs="仿宋_GB2312"/>
          <w:iCs/>
          <w:kern w:val="2"/>
          <w:szCs w:val="32"/>
        </w:rPr>
        <w:t>认罪悔罪：能服从法院判决，自书认罪悔罪书。</w:t>
      </w:r>
    </w:p>
    <w:p>
      <w:pPr>
        <w:pStyle w:val="9"/>
        <w:keepNext w:val="0"/>
        <w:keepLines w:val="0"/>
        <w:pageBreakBefore w:val="0"/>
        <w:widowControl w:val="0"/>
        <w:kinsoku/>
        <w:wordWrap/>
        <w:overflowPunct/>
        <w:topLinePunct w:val="0"/>
        <w:autoSpaceDE w:val="0"/>
        <w:autoSpaceDN w:val="0"/>
        <w:bidi w:val="0"/>
        <w:adjustRightInd w:val="0"/>
        <w:spacing w:line="600" w:lineRule="exact"/>
        <w:ind w:firstLine="640" w:firstLineChars="200"/>
        <w:jc w:val="left"/>
        <w:textAlignment w:val="auto"/>
        <w:rPr>
          <w:rFonts w:hint="eastAsia" w:ascii="仿宋_GB2312" w:hAnsi="仿宋_GB2312" w:eastAsia="仿宋_GB2312" w:cs="仿宋_GB2312"/>
          <w:szCs w:val="32"/>
          <w:lang w:val="zh-CN"/>
        </w:rPr>
      </w:pPr>
      <w:r>
        <w:rPr>
          <w:rFonts w:hint="eastAsia" w:ascii="仿宋_GB2312" w:hAnsi="仿宋_GB2312" w:eastAsia="仿宋_GB2312" w:cs="仿宋_GB2312"/>
          <w:szCs w:val="32"/>
        </w:rPr>
        <w:t>遵守监规</w:t>
      </w:r>
      <w:r>
        <w:rPr>
          <w:rFonts w:hint="eastAsia" w:ascii="仿宋_GB2312" w:hAnsi="仿宋_GB2312" w:eastAsia="仿宋_GB2312" w:cs="仿宋_GB2312"/>
          <w:szCs w:val="32"/>
          <w:lang w:val="zh-CN"/>
        </w:rPr>
        <w:t>：</w:t>
      </w:r>
      <w:r>
        <w:rPr>
          <w:rFonts w:hint="eastAsia" w:ascii="仿宋_GB2312" w:hAnsi="仿宋_GB2312" w:eastAsia="仿宋_GB2312" w:cs="仿宋_GB2312"/>
          <w:szCs w:val="32"/>
        </w:rPr>
        <w:t>该犯考核期内虽有违规，但经民警教育后，能认识到错误，有悔改表现，本次提请前能遵守法律法规及监规纪律，接受教育改造。</w:t>
      </w:r>
    </w:p>
    <w:p>
      <w:pPr>
        <w:pStyle w:val="9"/>
        <w:keepNext w:val="0"/>
        <w:keepLines w:val="0"/>
        <w:pageBreakBefore w:val="0"/>
        <w:widowControl w:val="0"/>
        <w:kinsoku/>
        <w:wordWrap/>
        <w:overflowPunct/>
        <w:topLinePunct w:val="0"/>
        <w:autoSpaceDE w:val="0"/>
        <w:autoSpaceDN w:val="0"/>
        <w:bidi w:val="0"/>
        <w:adjustRightInd w:val="0"/>
        <w:spacing w:line="600" w:lineRule="exact"/>
        <w:ind w:left="640" w:firstLine="640" w:firstLineChars="200"/>
        <w:jc w:val="left"/>
        <w:textAlignment w:val="auto"/>
        <w:rPr>
          <w:rFonts w:hint="eastAsia" w:ascii="仿宋_GB2312" w:hAnsi="仿宋_GB2312" w:eastAsia="仿宋_GB2312" w:cs="仿宋_GB2312"/>
          <w:szCs w:val="32"/>
          <w:lang w:val="zh-CN"/>
        </w:rPr>
      </w:pPr>
      <w:r>
        <w:rPr>
          <w:rFonts w:hint="eastAsia" w:ascii="仿宋_GB2312" w:hAnsi="仿宋_GB2312" w:eastAsia="仿宋_GB2312" w:cs="仿宋_GB2312"/>
          <w:szCs w:val="32"/>
          <w:lang w:val="zh-CN"/>
        </w:rPr>
        <w:t>学习情况：能参加</w:t>
      </w:r>
      <w:r>
        <w:rPr>
          <w:rFonts w:hint="eastAsia" w:ascii="仿宋_GB2312" w:hAnsi="仿宋_GB2312" w:eastAsia="仿宋_GB2312" w:cs="仿宋_GB2312"/>
          <w:szCs w:val="32"/>
        </w:rPr>
        <w:t>思想、文化、职业技术教育</w:t>
      </w:r>
      <w:r>
        <w:rPr>
          <w:rFonts w:hint="eastAsia" w:ascii="仿宋_GB2312" w:hAnsi="仿宋_GB2312" w:eastAsia="仿宋_GB2312" w:cs="仿宋_GB2312"/>
          <w:szCs w:val="32"/>
          <w:lang w:val="zh-CN"/>
        </w:rPr>
        <w:t>。</w:t>
      </w:r>
    </w:p>
    <w:p>
      <w:pPr>
        <w:pStyle w:val="9"/>
        <w:keepNext w:val="0"/>
        <w:keepLines w:val="0"/>
        <w:pageBreakBefore w:val="0"/>
        <w:widowControl w:val="0"/>
        <w:kinsoku/>
        <w:wordWrap/>
        <w:overflowPunct/>
        <w:topLinePunct w:val="0"/>
        <w:autoSpaceDE w:val="0"/>
        <w:autoSpaceDN w:val="0"/>
        <w:bidi w:val="0"/>
        <w:adjustRightInd w:val="0"/>
        <w:spacing w:line="600" w:lineRule="exact"/>
        <w:ind w:firstLine="640" w:firstLineChars="200"/>
        <w:jc w:val="left"/>
        <w:textAlignment w:val="auto"/>
        <w:rPr>
          <w:rFonts w:hint="eastAsia" w:ascii="仿宋_GB2312" w:hAnsi="仿宋_GB2312" w:eastAsia="仿宋_GB2312" w:cs="仿宋_GB2312"/>
          <w:szCs w:val="32"/>
          <w:lang w:val="zh-CN"/>
        </w:rPr>
      </w:pPr>
      <w:r>
        <w:rPr>
          <w:rFonts w:hint="eastAsia" w:ascii="仿宋_GB2312" w:hAnsi="仿宋_GB2312" w:eastAsia="仿宋_GB2312" w:cs="仿宋_GB2312"/>
          <w:szCs w:val="32"/>
          <w:lang w:val="zh-CN"/>
        </w:rPr>
        <w:t>劳动改造：能参加劳动，努力完成</w:t>
      </w:r>
      <w:r>
        <w:rPr>
          <w:rFonts w:hint="eastAsia" w:ascii="仿宋_GB2312" w:hAnsi="仿宋_GB2312" w:eastAsia="仿宋_GB2312" w:cs="仿宋_GB2312"/>
          <w:szCs w:val="32"/>
        </w:rPr>
        <w:t>劳动</w:t>
      </w:r>
      <w:r>
        <w:rPr>
          <w:rFonts w:hint="eastAsia" w:ascii="仿宋_GB2312" w:hAnsi="仿宋_GB2312" w:eastAsia="仿宋_GB2312" w:cs="仿宋_GB2312"/>
          <w:szCs w:val="32"/>
          <w:lang w:val="zh-CN"/>
        </w:rPr>
        <w:t>任务。</w:t>
      </w:r>
    </w:p>
    <w:p>
      <w:pPr>
        <w:pStyle w:val="9"/>
        <w:keepNext w:val="0"/>
        <w:keepLines w:val="0"/>
        <w:pageBreakBefore w:val="0"/>
        <w:widowControl w:val="0"/>
        <w:kinsoku/>
        <w:wordWrap/>
        <w:overflowPunct/>
        <w:topLinePunct w:val="0"/>
        <w:bidi w:val="0"/>
        <w:spacing w:line="60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lang w:val="zh-CN"/>
        </w:rPr>
        <w:t>奖惩情况：</w:t>
      </w:r>
      <w:r>
        <w:rPr>
          <w:rFonts w:hint="eastAsia" w:ascii="仿宋_GB2312" w:hAnsi="仿宋_GB2312" w:eastAsia="仿宋_GB2312" w:cs="仿宋_GB2312"/>
          <w:bCs/>
          <w:szCs w:val="32"/>
        </w:rPr>
        <w:t>该犯2019年2月25日至2020年11月累计获考核分1756分，2020年12月至202</w:t>
      </w:r>
      <w:r>
        <w:rPr>
          <w:rFonts w:hint="eastAsia" w:ascii="仿宋_GB2312" w:hAnsi="仿宋_GB2312" w:eastAsia="仿宋_GB2312" w:cs="仿宋_GB2312"/>
          <w:bCs/>
          <w:szCs w:val="32"/>
          <w:lang w:val="en-US" w:eastAsia="zh-CN"/>
        </w:rPr>
        <w:t>5</w:t>
      </w:r>
      <w:r>
        <w:rPr>
          <w:rFonts w:hint="eastAsia" w:ascii="仿宋_GB2312" w:hAnsi="仿宋_GB2312" w:eastAsia="仿宋_GB2312" w:cs="仿宋_GB2312"/>
          <w:bCs/>
          <w:szCs w:val="32"/>
        </w:rPr>
        <w:t>年</w:t>
      </w:r>
      <w:r>
        <w:rPr>
          <w:rFonts w:hint="eastAsia" w:ascii="仿宋_GB2312" w:hAnsi="仿宋_GB2312" w:eastAsia="仿宋_GB2312" w:cs="仿宋_GB2312"/>
          <w:bCs/>
          <w:szCs w:val="32"/>
          <w:lang w:val="en-US" w:eastAsia="zh-CN"/>
        </w:rPr>
        <w:t>5</w:t>
      </w:r>
      <w:r>
        <w:rPr>
          <w:rFonts w:hint="eastAsia" w:ascii="仿宋_GB2312" w:hAnsi="仿宋_GB2312" w:eastAsia="仿宋_GB2312" w:cs="仿宋_GB2312"/>
          <w:bCs/>
          <w:szCs w:val="32"/>
        </w:rPr>
        <w:t>月累计获考核分</w:t>
      </w:r>
      <w:r>
        <w:rPr>
          <w:rFonts w:hint="eastAsia" w:ascii="仿宋_GB2312" w:hAnsi="仿宋_GB2312" w:eastAsia="仿宋_GB2312" w:cs="仿宋_GB2312"/>
          <w:bCs/>
          <w:szCs w:val="32"/>
          <w:lang w:val="en-US" w:eastAsia="zh-CN"/>
        </w:rPr>
        <w:t>5985</w:t>
      </w:r>
      <w:r>
        <w:rPr>
          <w:rFonts w:hint="eastAsia" w:ascii="仿宋_GB2312" w:hAnsi="仿宋_GB2312" w:eastAsia="仿宋_GB2312" w:cs="仿宋_GB2312"/>
          <w:bCs/>
          <w:szCs w:val="32"/>
        </w:rPr>
        <w:t>分，合计获得考核分</w:t>
      </w:r>
      <w:r>
        <w:rPr>
          <w:rFonts w:hint="eastAsia" w:ascii="仿宋_GB2312" w:hAnsi="仿宋_GB2312" w:eastAsia="仿宋_GB2312" w:cs="仿宋_GB2312"/>
          <w:bCs/>
          <w:szCs w:val="32"/>
          <w:lang w:val="en-US" w:eastAsia="zh-CN"/>
        </w:rPr>
        <w:t>7741</w:t>
      </w:r>
      <w:r>
        <w:rPr>
          <w:rFonts w:hint="eastAsia" w:ascii="仿宋_GB2312" w:hAnsi="仿宋_GB2312" w:eastAsia="仿宋_GB2312" w:cs="仿宋_GB2312"/>
          <w:bCs/>
          <w:szCs w:val="32"/>
        </w:rPr>
        <w:t>分，表扬</w:t>
      </w:r>
      <w:r>
        <w:rPr>
          <w:rFonts w:hint="eastAsia" w:ascii="仿宋_GB2312" w:hAnsi="仿宋_GB2312" w:eastAsia="仿宋_GB2312" w:cs="仿宋_GB2312"/>
          <w:bCs/>
          <w:szCs w:val="32"/>
          <w:lang w:val="en-US" w:eastAsia="zh-CN"/>
        </w:rPr>
        <w:t>11</w:t>
      </w:r>
      <w:r>
        <w:rPr>
          <w:rFonts w:hint="eastAsia" w:ascii="仿宋_GB2312" w:hAnsi="仿宋_GB2312" w:eastAsia="仿宋_GB2312" w:cs="仿宋_GB2312"/>
          <w:bCs/>
          <w:szCs w:val="32"/>
        </w:rPr>
        <w:t>次</w:t>
      </w:r>
      <w:r>
        <w:rPr>
          <w:rFonts w:hint="eastAsia" w:ascii="仿宋_GB2312" w:hAnsi="仿宋_GB2312" w:eastAsia="仿宋_GB2312" w:cs="仿宋_GB2312"/>
          <w:bCs/>
          <w:szCs w:val="32"/>
          <w:lang w:val="en-US" w:eastAsia="zh-CN"/>
        </w:rPr>
        <w:t>,物质奖励1次</w:t>
      </w:r>
      <w:r>
        <w:rPr>
          <w:rFonts w:hint="eastAsia" w:ascii="仿宋_GB2312" w:hAnsi="仿宋_GB2312" w:eastAsia="仿宋_GB2312" w:cs="仿宋_GB2312"/>
          <w:bCs/>
          <w:szCs w:val="32"/>
        </w:rPr>
        <w:t>；2019年2月25日至2020年11月违规1次，扣10分，无重大违规，2020年12月至202</w:t>
      </w:r>
      <w:r>
        <w:rPr>
          <w:rFonts w:hint="eastAsia" w:ascii="仿宋_GB2312" w:hAnsi="仿宋_GB2312" w:eastAsia="仿宋_GB2312" w:cs="仿宋_GB2312"/>
          <w:bCs/>
          <w:szCs w:val="32"/>
          <w:lang w:val="en-US" w:eastAsia="zh-CN"/>
        </w:rPr>
        <w:t>5</w:t>
      </w:r>
      <w:r>
        <w:rPr>
          <w:rFonts w:hint="eastAsia" w:ascii="仿宋_GB2312" w:hAnsi="仿宋_GB2312" w:eastAsia="仿宋_GB2312" w:cs="仿宋_GB2312"/>
          <w:bCs/>
          <w:szCs w:val="32"/>
        </w:rPr>
        <w:t>年</w:t>
      </w:r>
      <w:r>
        <w:rPr>
          <w:rFonts w:hint="eastAsia" w:ascii="仿宋_GB2312" w:hAnsi="仿宋_GB2312" w:eastAsia="仿宋_GB2312" w:cs="仿宋_GB2312"/>
          <w:bCs/>
          <w:szCs w:val="32"/>
          <w:lang w:val="en-US" w:eastAsia="zh-CN"/>
        </w:rPr>
        <w:t>5</w:t>
      </w:r>
      <w:r>
        <w:rPr>
          <w:rFonts w:hint="eastAsia" w:ascii="仿宋_GB2312" w:hAnsi="仿宋_GB2312" w:eastAsia="仿宋_GB2312" w:cs="仿宋_GB2312"/>
          <w:bCs/>
          <w:szCs w:val="32"/>
        </w:rPr>
        <w:t>月无违规扣分。</w:t>
      </w:r>
    </w:p>
    <w:p>
      <w:pPr>
        <w:pStyle w:val="9"/>
        <w:keepNext w:val="0"/>
        <w:keepLines w:val="0"/>
        <w:pageBreakBefore w:val="0"/>
        <w:widowControl w:val="0"/>
        <w:kinsoku/>
        <w:wordWrap/>
        <w:overflowPunct/>
        <w:topLinePunct w:val="0"/>
        <w:bidi w:val="0"/>
        <w:spacing w:line="60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lang w:eastAsia="zh-CN"/>
        </w:rPr>
        <w:t>该犯</w:t>
      </w:r>
      <w:r>
        <w:rPr>
          <w:rFonts w:hint="eastAsia" w:ascii="仿宋_GB2312" w:hAnsi="仿宋_GB2312" w:eastAsia="仿宋_GB2312" w:cs="仿宋_GB2312"/>
          <w:szCs w:val="32"/>
        </w:rPr>
        <w:t>原判财产性判项已履行</w:t>
      </w:r>
      <w:r>
        <w:rPr>
          <w:rFonts w:hint="eastAsia" w:ascii="仿宋_GB2312" w:hAnsi="仿宋_GB2312" w:eastAsia="仿宋_GB2312" w:cs="仿宋_GB2312"/>
          <w:szCs w:val="32"/>
          <w:lang w:val="en-US" w:eastAsia="zh-CN"/>
        </w:rPr>
        <w:t>1519007.74元，</w:t>
      </w:r>
      <w:r>
        <w:rPr>
          <w:rFonts w:hint="eastAsia" w:ascii="仿宋_GB2312" w:hAnsi="仿宋_GB2312" w:eastAsia="仿宋_GB2312" w:cs="仿宋_GB2312"/>
          <w:szCs w:val="32"/>
        </w:rPr>
        <w:t>其中本次提请向福建省漳州市中级人民法院缴纳没收个人财产人民币500元，缴纳违法所得人民币100元。该犯考核期月均消费人民币2</w:t>
      </w:r>
      <w:r>
        <w:rPr>
          <w:rFonts w:hint="eastAsia" w:ascii="仿宋_GB2312" w:hAnsi="仿宋_GB2312" w:eastAsia="仿宋_GB2312" w:cs="仿宋_GB2312"/>
          <w:szCs w:val="32"/>
          <w:lang w:val="en-US" w:eastAsia="zh-CN"/>
        </w:rPr>
        <w:t>90.84</w:t>
      </w:r>
      <w:r>
        <w:rPr>
          <w:rFonts w:hint="eastAsia" w:ascii="仿宋_GB2312" w:hAnsi="仿宋_GB2312" w:eastAsia="仿宋_GB2312" w:cs="仿宋_GB2312"/>
          <w:szCs w:val="32"/>
        </w:rPr>
        <w:t>元，账户可用余额人民币</w:t>
      </w:r>
      <w:r>
        <w:rPr>
          <w:rFonts w:hint="eastAsia" w:ascii="仿宋_GB2312" w:hAnsi="仿宋_GB2312" w:eastAsia="仿宋_GB2312" w:cs="仿宋_GB2312"/>
          <w:szCs w:val="32"/>
          <w:lang w:val="en-US" w:eastAsia="zh-CN"/>
        </w:rPr>
        <w:t>260.48</w:t>
      </w:r>
      <w:r>
        <w:rPr>
          <w:rFonts w:hint="eastAsia" w:ascii="仿宋_GB2312" w:hAnsi="仿宋_GB2312" w:eastAsia="仿宋_GB2312" w:cs="仿宋_GB2312"/>
          <w:szCs w:val="32"/>
        </w:rPr>
        <w:t>元。202</w:t>
      </w:r>
      <w:r>
        <w:rPr>
          <w:rFonts w:hint="eastAsia" w:ascii="仿宋_GB2312" w:hAnsi="仿宋_GB2312" w:eastAsia="仿宋_GB2312" w:cs="仿宋_GB2312"/>
          <w:szCs w:val="32"/>
          <w:lang w:val="en-US" w:eastAsia="zh-CN"/>
        </w:rPr>
        <w:t>5</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6</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30</w:t>
      </w:r>
      <w:r>
        <w:rPr>
          <w:rFonts w:hint="eastAsia" w:ascii="仿宋_GB2312" w:hAnsi="仿宋_GB2312" w:eastAsia="仿宋_GB2312" w:cs="仿宋_GB2312"/>
          <w:szCs w:val="32"/>
        </w:rPr>
        <w:t>日福建省漳州市中级人民法院财产性判项复函载明：</w:t>
      </w:r>
      <w:r>
        <w:rPr>
          <w:rFonts w:hint="eastAsia" w:ascii="仿宋_GB2312" w:hAnsi="仿宋_GB2312" w:eastAsia="仿宋_GB2312" w:cs="仿宋_GB2312"/>
          <w:szCs w:val="32"/>
          <w:lang w:eastAsia="zh-CN"/>
        </w:rPr>
        <w:t>被执行人欧阳平除判决书中明确已缴交的人民币</w:t>
      </w:r>
      <w:r>
        <w:rPr>
          <w:rFonts w:hint="eastAsia" w:ascii="仿宋_GB2312" w:hAnsi="仿宋_GB2312" w:eastAsia="仿宋_GB2312" w:cs="仿宋_GB2312"/>
          <w:szCs w:val="32"/>
          <w:lang w:val="en-US" w:eastAsia="zh-CN"/>
        </w:rPr>
        <w:t>100万元及向欧阳平苦呀的人民币2100元、99989.17元及416318.57元，并入没收其个人财产项执行外，查无其他财产性判项履行情况；未存在拒不交代赃款、赃物去向情节；未存在隐瞒、藏匿、转移财产情节；未存在妨害财产性判项执行情节；</w:t>
      </w:r>
      <w:r>
        <w:rPr>
          <w:rFonts w:hint="eastAsia" w:ascii="仿宋_GB2312" w:hAnsi="仿宋_GB2312" w:eastAsia="仿宋_GB2312" w:cs="仿宋_GB2312"/>
          <w:szCs w:val="32"/>
          <w:lang w:eastAsia="zh-CN"/>
        </w:rPr>
        <w:t>向欧阳平扣押的台币</w:t>
      </w:r>
      <w:r>
        <w:rPr>
          <w:rFonts w:hint="eastAsia" w:ascii="仿宋_GB2312" w:hAnsi="仿宋_GB2312" w:eastAsia="仿宋_GB2312" w:cs="仿宋_GB2312"/>
          <w:szCs w:val="32"/>
          <w:lang w:val="en-US" w:eastAsia="zh-CN"/>
        </w:rPr>
        <w:t>10700元，港币350元，马来西亚币551令吉，手表一块，现正在处置阶段；</w:t>
      </w:r>
      <w:r>
        <w:rPr>
          <w:rFonts w:hint="eastAsia" w:ascii="仿宋_GB2312" w:hAnsi="仿宋_GB2312" w:eastAsia="仿宋_GB2312" w:cs="仿宋_GB2312"/>
          <w:szCs w:val="32"/>
          <w:lang w:eastAsia="zh-CN"/>
        </w:rPr>
        <w:t>经本院总对总网络查控系统核查，查无</w:t>
      </w:r>
      <w:r>
        <w:rPr>
          <w:rFonts w:hint="eastAsia" w:ascii="仿宋_GB2312" w:hAnsi="仿宋_GB2312" w:eastAsia="仿宋_GB2312" w:cs="仿宋_GB2312"/>
          <w:szCs w:val="32"/>
        </w:rPr>
        <w:t>其他可供执行财产。</w:t>
      </w:r>
    </w:p>
    <w:p>
      <w:pPr>
        <w:keepNext w:val="0"/>
        <w:keepLines w:val="0"/>
        <w:pageBreakBefore w:val="0"/>
        <w:widowControl w:val="0"/>
        <w:kinsoku/>
        <w:wordWrap/>
        <w:overflowPunct/>
        <w:topLinePunct w:val="0"/>
        <w:bidi w:val="0"/>
        <w:spacing w:line="60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本案于</w:t>
      </w:r>
      <w:r>
        <w:rPr>
          <w:rFonts w:hint="eastAsia" w:ascii="仿宋_GB2312" w:hAnsi="仿宋_GB2312" w:cs="仿宋_GB2312"/>
          <w:szCs w:val="32"/>
          <w:lang w:eastAsia="zh-CN"/>
        </w:rPr>
        <w:t>2025年8月16日至2025年8月22日</w:t>
      </w:r>
      <w:r>
        <w:rPr>
          <w:rFonts w:hint="eastAsia" w:ascii="仿宋_GB2312" w:hAnsi="仿宋_GB2312" w:eastAsia="仿宋_GB2312" w:cs="仿宋_GB2312"/>
          <w:szCs w:val="32"/>
        </w:rPr>
        <w:t>在狱内公示未收到不同意见。</w:t>
      </w:r>
    </w:p>
    <w:p>
      <w:pPr>
        <w:keepNext w:val="0"/>
        <w:keepLines w:val="0"/>
        <w:pageBreakBefore w:val="0"/>
        <w:widowControl w:val="0"/>
        <w:kinsoku/>
        <w:wordWrap/>
        <w:overflowPunct/>
        <w:topLinePunct w:val="0"/>
        <w:bidi w:val="0"/>
        <w:spacing w:line="60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因此，依照《中华人民共和国刑法》第五十七条、第七十八条、《中华人民共和国刑事诉讼法》第二百七十三条第二款和《中华人民共和国监狱法》第二十九条规定，建议对罪犯欧阳平减为有期徒刑二十五年，剥夺政治权利改为十年。特提请你院审理裁定。</w:t>
      </w:r>
    </w:p>
    <w:p>
      <w:pPr>
        <w:pStyle w:val="2"/>
        <w:keepNext w:val="0"/>
        <w:keepLines w:val="0"/>
        <w:pageBreakBefore w:val="0"/>
        <w:widowControl w:val="0"/>
        <w:kinsoku/>
        <w:wordWrap/>
        <w:overflowPunct/>
        <w:topLinePunct w:val="0"/>
        <w:bidi w:val="0"/>
        <w:spacing w:line="600" w:lineRule="exact"/>
        <w:ind w:right="-48" w:rightChars="-15"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此致</w:t>
      </w:r>
    </w:p>
    <w:p>
      <w:pPr>
        <w:keepNext w:val="0"/>
        <w:keepLines w:val="0"/>
        <w:pageBreakBefore w:val="0"/>
        <w:widowControl w:val="0"/>
        <w:kinsoku/>
        <w:wordWrap/>
        <w:overflowPunct/>
        <w:topLinePunct w:val="0"/>
        <w:bidi w:val="0"/>
        <w:spacing w:line="600" w:lineRule="exact"/>
        <w:ind w:right="-48" w:rightChars="-15"/>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福建省高级人民法院</w:t>
      </w:r>
    </w:p>
    <w:p>
      <w:pPr>
        <w:keepNext w:val="0"/>
        <w:keepLines w:val="0"/>
        <w:pageBreakBefore w:val="0"/>
        <w:widowControl w:val="0"/>
        <w:kinsoku/>
        <w:wordWrap/>
        <w:overflowPunct/>
        <w:topLinePunct w:val="0"/>
        <w:bidi w:val="0"/>
        <w:spacing w:line="600" w:lineRule="exact"/>
        <w:ind w:firstLine="640" w:firstLineChars="2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附件：⒈罪犯欧阳平卷宗</w:t>
      </w:r>
      <w:r>
        <w:rPr>
          <w:rFonts w:hint="eastAsia" w:ascii="仿宋_GB2312" w:hAnsi="仿宋_GB2312" w:eastAsia="仿宋_GB2312" w:cs="仿宋_GB2312"/>
          <w:szCs w:val="32"/>
          <w:lang w:eastAsia="zh-CN"/>
        </w:rPr>
        <w:t>二</w:t>
      </w:r>
      <w:r>
        <w:rPr>
          <w:rFonts w:hint="eastAsia" w:ascii="仿宋_GB2312" w:hAnsi="仿宋_GB2312" w:eastAsia="仿宋_GB2312" w:cs="仿宋_GB2312"/>
          <w:szCs w:val="32"/>
        </w:rPr>
        <w:t>册</w:t>
      </w:r>
    </w:p>
    <w:p>
      <w:pPr>
        <w:keepNext w:val="0"/>
        <w:keepLines w:val="0"/>
        <w:pageBreakBefore w:val="0"/>
        <w:widowControl w:val="0"/>
        <w:kinsoku/>
        <w:wordWrap/>
        <w:overflowPunct/>
        <w:topLinePunct w:val="0"/>
        <w:bidi w:val="0"/>
        <w:spacing w:line="600" w:lineRule="exact"/>
        <w:ind w:right="-48" w:rightChars="-15" w:firstLine="1600" w:firstLineChars="5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⒉减刑建议书</w:t>
      </w:r>
      <w:r>
        <w:rPr>
          <w:rFonts w:hint="eastAsia" w:ascii="仿宋_GB2312" w:hAnsi="仿宋_GB2312" w:eastAsia="仿宋_GB2312" w:cs="仿宋_GB2312"/>
          <w:szCs w:val="32"/>
          <w:lang w:eastAsia="zh-CN"/>
        </w:rPr>
        <w:t>五</w:t>
      </w:r>
      <w:r>
        <w:rPr>
          <w:rFonts w:hint="eastAsia" w:ascii="仿宋_GB2312" w:hAnsi="仿宋_GB2312" w:eastAsia="仿宋_GB2312" w:cs="仿宋_GB2312"/>
          <w:szCs w:val="32"/>
        </w:rPr>
        <w:t>份</w:t>
      </w:r>
    </w:p>
    <w:p>
      <w:pPr>
        <w:keepNext w:val="0"/>
        <w:keepLines w:val="0"/>
        <w:pageBreakBefore w:val="0"/>
        <w:widowControl w:val="0"/>
        <w:kinsoku/>
        <w:wordWrap/>
        <w:overflowPunct/>
        <w:topLinePunct w:val="0"/>
        <w:bidi w:val="0"/>
        <w:spacing w:line="600" w:lineRule="exact"/>
        <w:ind w:right="-48" w:rightChars="-15" w:firstLine="640" w:firstLineChars="200"/>
        <w:jc w:val="left"/>
        <w:textAlignment w:val="auto"/>
        <w:rPr>
          <w:rFonts w:hint="eastAsia" w:ascii="仿宋_GB2312" w:hAnsi="仿宋_GB2312" w:eastAsia="仿宋_GB2312" w:cs="仿宋_GB2312"/>
          <w:szCs w:val="32"/>
        </w:rPr>
      </w:pPr>
    </w:p>
    <w:p>
      <w:pPr>
        <w:keepNext w:val="0"/>
        <w:keepLines w:val="0"/>
        <w:pageBreakBefore w:val="0"/>
        <w:widowControl w:val="0"/>
        <w:kinsoku/>
        <w:wordWrap/>
        <w:overflowPunct/>
        <w:topLinePunct w:val="0"/>
        <w:bidi w:val="0"/>
        <w:spacing w:line="600" w:lineRule="exact"/>
        <w:ind w:right="-14" w:rightChars="0" w:firstLine="4800" w:firstLineChars="1500"/>
        <w:jc w:val="lef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福建省漳州监狱</w:t>
      </w:r>
    </w:p>
    <w:p>
      <w:pPr>
        <w:keepNext w:val="0"/>
        <w:keepLines w:val="0"/>
        <w:pageBreakBefore w:val="0"/>
        <w:widowControl w:val="0"/>
        <w:kinsoku/>
        <w:wordWrap/>
        <w:overflowPunct/>
        <w:topLinePunct w:val="0"/>
        <w:bidi w:val="0"/>
        <w:snapToGrid w:val="0"/>
        <w:spacing w:line="600" w:lineRule="exact"/>
        <w:ind w:firstLine="640" w:firstLineChars="200"/>
        <w:jc w:val="left"/>
        <w:textAlignment w:val="auto"/>
        <w:rPr>
          <w:rFonts w:hint="eastAsia" w:eastAsia="楷体_GB2312" w:cs="楷体_GB2312"/>
          <w:szCs w:val="32"/>
          <w:lang w:eastAsia="zh-CN"/>
        </w:rPr>
      </w:pPr>
      <w:r>
        <w:rPr>
          <w:rFonts w:hint="eastAsia" w:ascii="仿宋_GB2312" w:hAnsi="仿宋_GB2312" w:eastAsia="仿宋_GB2312" w:cs="仿宋_GB2312"/>
          <w:szCs w:val="32"/>
        </w:rPr>
        <w:t xml:space="preserve">  </w:t>
      </w:r>
      <w:r>
        <w:rPr>
          <w:rFonts w:hint="eastAsia" w:ascii="仿宋_GB2312" w:hAnsi="仿宋_GB2312" w:eastAsia="仿宋_GB2312" w:cs="仿宋_GB2312"/>
          <w:szCs w:val="32"/>
          <w:lang w:val="en-US" w:eastAsia="zh-CN"/>
        </w:rPr>
        <w:t xml:space="preserve">  </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202</w:t>
      </w:r>
      <w:r>
        <w:rPr>
          <w:rFonts w:hint="eastAsia" w:ascii="仿宋_GB2312" w:hAnsi="仿宋_GB2312" w:eastAsia="仿宋_GB2312" w:cs="仿宋_GB2312"/>
          <w:szCs w:val="32"/>
          <w:lang w:val="en-US" w:eastAsia="zh-CN"/>
        </w:rPr>
        <w:t>5</w:t>
      </w:r>
      <w:r>
        <w:rPr>
          <w:rFonts w:hint="eastAsia" w:ascii="仿宋_GB2312" w:hAnsi="仿宋_GB2312" w:eastAsia="仿宋_GB2312" w:cs="仿宋_GB2312"/>
          <w:szCs w:val="32"/>
        </w:rPr>
        <w:t>年</w:t>
      </w:r>
      <w:r>
        <w:rPr>
          <w:rFonts w:hint="eastAsia" w:ascii="仿宋_GB2312" w:hAnsi="仿宋_GB2312" w:eastAsia="仿宋_GB2312" w:cs="仿宋_GB2312"/>
          <w:szCs w:val="32"/>
          <w:lang w:val="en-US" w:eastAsia="zh-CN"/>
        </w:rPr>
        <w:t>8</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2</w:t>
      </w:r>
      <w:r>
        <w:rPr>
          <w:rFonts w:hint="eastAsia" w:ascii="仿宋_GB2312" w:hAnsi="仿宋_GB2312" w:cs="仿宋_GB2312"/>
          <w:szCs w:val="32"/>
          <w:lang w:val="en-US" w:eastAsia="zh-CN"/>
        </w:rPr>
        <w:t>8</w:t>
      </w:r>
      <w:r>
        <w:rPr>
          <w:rFonts w:hint="eastAsia" w:ascii="仿宋_GB2312" w:hAnsi="仿宋_GB2312" w:eastAsia="仿宋_GB2312" w:cs="仿宋_GB231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566F0"/>
    <w:rsid w:val="00040D1F"/>
    <w:rsid w:val="000910CE"/>
    <w:rsid w:val="000B24B2"/>
    <w:rsid w:val="000D089D"/>
    <w:rsid w:val="0010570A"/>
    <w:rsid w:val="00125788"/>
    <w:rsid w:val="001359E6"/>
    <w:rsid w:val="00165CB0"/>
    <w:rsid w:val="001C2201"/>
    <w:rsid w:val="001C6165"/>
    <w:rsid w:val="001D1FFF"/>
    <w:rsid w:val="00201852"/>
    <w:rsid w:val="00202400"/>
    <w:rsid w:val="00220616"/>
    <w:rsid w:val="00246AAF"/>
    <w:rsid w:val="002C1CF2"/>
    <w:rsid w:val="002D261F"/>
    <w:rsid w:val="00300F2C"/>
    <w:rsid w:val="00321902"/>
    <w:rsid w:val="0034096E"/>
    <w:rsid w:val="00356D24"/>
    <w:rsid w:val="003C59AC"/>
    <w:rsid w:val="003F0732"/>
    <w:rsid w:val="004147EB"/>
    <w:rsid w:val="0044482F"/>
    <w:rsid w:val="004A47D0"/>
    <w:rsid w:val="004D086A"/>
    <w:rsid w:val="0056091F"/>
    <w:rsid w:val="005B2349"/>
    <w:rsid w:val="005D65C1"/>
    <w:rsid w:val="005E7E75"/>
    <w:rsid w:val="00601D24"/>
    <w:rsid w:val="00691687"/>
    <w:rsid w:val="006A63F8"/>
    <w:rsid w:val="00717439"/>
    <w:rsid w:val="00720E04"/>
    <w:rsid w:val="00791DCE"/>
    <w:rsid w:val="00831860"/>
    <w:rsid w:val="00846799"/>
    <w:rsid w:val="008C57FE"/>
    <w:rsid w:val="009141B6"/>
    <w:rsid w:val="0091471F"/>
    <w:rsid w:val="00927F9B"/>
    <w:rsid w:val="00943AD0"/>
    <w:rsid w:val="0094451B"/>
    <w:rsid w:val="0096455C"/>
    <w:rsid w:val="00984FAB"/>
    <w:rsid w:val="009C68A3"/>
    <w:rsid w:val="00A47728"/>
    <w:rsid w:val="00A875FF"/>
    <w:rsid w:val="00AB3592"/>
    <w:rsid w:val="00AD0494"/>
    <w:rsid w:val="00AD3AC7"/>
    <w:rsid w:val="00AE375A"/>
    <w:rsid w:val="00B317E7"/>
    <w:rsid w:val="00B566F0"/>
    <w:rsid w:val="00B823FB"/>
    <w:rsid w:val="00B94F18"/>
    <w:rsid w:val="00C00144"/>
    <w:rsid w:val="00C05381"/>
    <w:rsid w:val="00C1652D"/>
    <w:rsid w:val="00C1692F"/>
    <w:rsid w:val="00CC5737"/>
    <w:rsid w:val="00D07B7A"/>
    <w:rsid w:val="00D81DD2"/>
    <w:rsid w:val="00E0645B"/>
    <w:rsid w:val="00E25738"/>
    <w:rsid w:val="00E71278"/>
    <w:rsid w:val="00EB3B84"/>
    <w:rsid w:val="00EE4C5B"/>
    <w:rsid w:val="00FE4A02"/>
    <w:rsid w:val="036A5E04"/>
    <w:rsid w:val="075546F5"/>
    <w:rsid w:val="078C6784"/>
    <w:rsid w:val="08A6129B"/>
    <w:rsid w:val="0B032DBB"/>
    <w:rsid w:val="0B4A3E7F"/>
    <w:rsid w:val="0C6E1544"/>
    <w:rsid w:val="0E572BFA"/>
    <w:rsid w:val="0E9D39B7"/>
    <w:rsid w:val="0EEF0183"/>
    <w:rsid w:val="1219101B"/>
    <w:rsid w:val="12D03822"/>
    <w:rsid w:val="12DB2CF7"/>
    <w:rsid w:val="15D93A3C"/>
    <w:rsid w:val="1B7C3D38"/>
    <w:rsid w:val="1C595CF1"/>
    <w:rsid w:val="1D453D13"/>
    <w:rsid w:val="1D9D289F"/>
    <w:rsid w:val="1EF20AF7"/>
    <w:rsid w:val="1FE03E2B"/>
    <w:rsid w:val="2027184D"/>
    <w:rsid w:val="2114237A"/>
    <w:rsid w:val="22B155AE"/>
    <w:rsid w:val="23212818"/>
    <w:rsid w:val="2626689D"/>
    <w:rsid w:val="27B22717"/>
    <w:rsid w:val="2A3B64D2"/>
    <w:rsid w:val="2C3550D4"/>
    <w:rsid w:val="2EAF0314"/>
    <w:rsid w:val="310006C2"/>
    <w:rsid w:val="317C2C76"/>
    <w:rsid w:val="31DC6C3C"/>
    <w:rsid w:val="35922F75"/>
    <w:rsid w:val="366E10CC"/>
    <w:rsid w:val="371643C5"/>
    <w:rsid w:val="383430DD"/>
    <w:rsid w:val="39864127"/>
    <w:rsid w:val="39C1344E"/>
    <w:rsid w:val="3A0B4CAB"/>
    <w:rsid w:val="3B02271A"/>
    <w:rsid w:val="3C835306"/>
    <w:rsid w:val="3D42560E"/>
    <w:rsid w:val="3D5A65CA"/>
    <w:rsid w:val="3EF041C9"/>
    <w:rsid w:val="3FE17A60"/>
    <w:rsid w:val="40307287"/>
    <w:rsid w:val="40D516CD"/>
    <w:rsid w:val="41E940B3"/>
    <w:rsid w:val="42A47A82"/>
    <w:rsid w:val="44B71804"/>
    <w:rsid w:val="450155C4"/>
    <w:rsid w:val="453271AB"/>
    <w:rsid w:val="459A0768"/>
    <w:rsid w:val="471D6BB8"/>
    <w:rsid w:val="496D5C2E"/>
    <w:rsid w:val="4A024AA2"/>
    <w:rsid w:val="4B745E6C"/>
    <w:rsid w:val="4B897A7D"/>
    <w:rsid w:val="4E1B5A61"/>
    <w:rsid w:val="500C5BAE"/>
    <w:rsid w:val="50FF64A6"/>
    <w:rsid w:val="551C2364"/>
    <w:rsid w:val="55676FCD"/>
    <w:rsid w:val="58AB0C8B"/>
    <w:rsid w:val="58FE48D4"/>
    <w:rsid w:val="59C11342"/>
    <w:rsid w:val="59F1663A"/>
    <w:rsid w:val="5E48496B"/>
    <w:rsid w:val="61D75FB4"/>
    <w:rsid w:val="622C03DE"/>
    <w:rsid w:val="6391562E"/>
    <w:rsid w:val="677C7175"/>
    <w:rsid w:val="68DF072D"/>
    <w:rsid w:val="6A0A5681"/>
    <w:rsid w:val="6A5C5FF0"/>
    <w:rsid w:val="6B812D81"/>
    <w:rsid w:val="6DC60AD6"/>
    <w:rsid w:val="6FFD5DDE"/>
    <w:rsid w:val="70013651"/>
    <w:rsid w:val="70EE0BDA"/>
    <w:rsid w:val="72210150"/>
    <w:rsid w:val="77E34CC3"/>
    <w:rsid w:val="79BB7B32"/>
    <w:rsid w:val="7BAC215F"/>
    <w:rsid w:val="7CF73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99"/>
    <w:rPr>
      <w:rFonts w:ascii="Times New Roman" w:hAnsi="Times New Roman"/>
    </w:rPr>
  </w:style>
  <w:style w:type="paragraph" w:styleId="3">
    <w:name w:val="footer"/>
    <w:basedOn w:val="1"/>
    <w:link w:val="8"/>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4">
    <w:name w:val="header"/>
    <w:basedOn w:val="1"/>
    <w:link w:val="7"/>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7">
    <w:name w:val="页眉 Char"/>
    <w:basedOn w:val="6"/>
    <w:link w:val="4"/>
    <w:qFormat/>
    <w:uiPriority w:val="0"/>
    <w:rPr>
      <w:sz w:val="18"/>
      <w:szCs w:val="18"/>
    </w:rPr>
  </w:style>
  <w:style w:type="character" w:customStyle="1" w:styleId="8">
    <w:name w:val="页脚 Char"/>
    <w:basedOn w:val="6"/>
    <w:link w:val="3"/>
    <w:semiHidden/>
    <w:qFormat/>
    <w:uiPriority w:val="99"/>
    <w:rPr>
      <w:sz w:val="18"/>
      <w:szCs w:val="18"/>
    </w:rPr>
  </w:style>
  <w:style w:type="paragraph" w:customStyle="1" w:styleId="9">
    <w:name w:val="列表段落1"/>
    <w:basedOn w:val="1"/>
    <w:qFormat/>
    <w:uiPriority w:val="99"/>
    <w:pPr>
      <w:ind w:firstLine="420" w:firstLineChars="200"/>
    </w:pPr>
    <w:rPr>
      <w:rFonts w:ascii="Times New Roman" w:hAnsi="Times New Roman"/>
    </w:rPr>
  </w:style>
  <w:style w:type="character" w:customStyle="1" w:styleId="10">
    <w:name w:val="称呼 Char"/>
    <w:basedOn w:val="6"/>
    <w:link w:val="2"/>
    <w:qFormat/>
    <w:uiPriority w:val="99"/>
    <w:rPr>
      <w:rFonts w:ascii="Times New Roman" w:hAnsi="Times New Roman" w:eastAsia="仿宋_GB2312" w:cs="Times New Roman"/>
      <w:kern w:val="3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157</Words>
  <Characters>901</Characters>
  <Lines>7</Lines>
  <Paragraphs>2</Paragraphs>
  <TotalTime>57</TotalTime>
  <ScaleCrop>false</ScaleCrop>
  <LinksUpToDate>false</LinksUpToDate>
  <CharactersWithSpaces>1056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2024-02-22T07:00:00Z</dcterms:created>
  <dc:creator>Administrator</dc:creator>
  <cp:lastModifiedBy>叶志胜</cp:lastModifiedBy>
  <cp:lastPrinted>2024-09-09T08:16:00Z</cp:lastPrinted>
  <dcterms:modified xsi:type="dcterms:W3CDTF">2025-08-28T09:09:14Z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60A6E46C6C414CF998BADBF1EE85BE0B</vt:lpwstr>
  </property>
</Properties>
</file>