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1"/>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25</w:t>
      </w:r>
      <w:r>
        <w:rPr>
          <w:rFonts w:hint="eastAsia" w:eastAsia="楷体_GB2312" w:cs="楷体_GB2312"/>
          <w:color w:val="auto"/>
          <w:szCs w:val="32"/>
        </w:rPr>
        <w:t>〕闽</w:t>
      </w:r>
      <w:r>
        <w:rPr>
          <w:rFonts w:hint="eastAsia" w:eastAsia="楷体_GB2312" w:cs="楷体_GB2312"/>
          <w:color w:val="auto"/>
          <w:szCs w:val="32"/>
          <w:lang w:val="en-US" w:eastAsia="zh-CN"/>
        </w:rPr>
        <w:t>漳</w:t>
      </w:r>
      <w:r>
        <w:rPr>
          <w:rFonts w:hint="eastAsia" w:eastAsia="楷体_GB2312" w:cs="楷体_GB2312"/>
          <w:color w:val="auto"/>
          <w:szCs w:val="32"/>
        </w:rPr>
        <w:t>狱减字第</w:t>
      </w:r>
      <w:r>
        <w:rPr>
          <w:rFonts w:hint="eastAsia" w:eastAsia="楷体_GB2312"/>
          <w:color w:val="auto"/>
          <w:szCs w:val="32"/>
          <w:lang w:val="en-US" w:eastAsia="zh-CN"/>
        </w:rPr>
        <w:t>434</w:t>
      </w:r>
      <w:r>
        <w:rPr>
          <w:rFonts w:hint="eastAsia" w:eastAsia="楷体_GB2312" w:cs="楷体_GB2312"/>
          <w:color w:val="auto"/>
          <w:szCs w:val="32"/>
        </w:rPr>
        <w:t>号</w:t>
      </w:r>
    </w:p>
    <w:p>
      <w:pPr>
        <w:pStyle w:val="11"/>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w:t>
      </w:r>
      <w:r>
        <w:rPr>
          <w:rFonts w:hint="eastAsia" w:ascii="仿宋_GB2312" w:hAnsi="仿宋_GB2312" w:cs="仿宋_GB2312"/>
          <w:color w:val="auto"/>
          <w:szCs w:val="32"/>
          <w:lang w:val="en-US" w:eastAsia="zh-CN"/>
        </w:rPr>
        <w:t>苏建聪，男，1987</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30</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val="en-US"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eastAsia="zh-CN"/>
        </w:rPr>
        <w:t>初中文化</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rPr>
        <w:t>住福建省晋江市</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农民。曾因贩卖毒品罪于</w:t>
      </w:r>
      <w:r>
        <w:rPr>
          <w:rFonts w:hint="eastAsia" w:ascii="仿宋_GB2312" w:hAnsi="仿宋_GB2312" w:cs="仿宋_GB2312"/>
          <w:color w:val="auto"/>
          <w:szCs w:val="32"/>
          <w:lang w:val="en-US" w:eastAsia="zh-CN"/>
        </w:rPr>
        <w:t>2010年11月15日被鲤城区人民法院判处有期徒刑六个月，2011年1月26日刑满释放，系累犯且系毒品再犯</w:t>
      </w:r>
      <w:r>
        <w:rPr>
          <w:rFonts w:hint="eastAsia" w:ascii="仿宋_GB2312" w:hAnsi="仿宋_GB2312" w:eastAsia="仿宋_GB2312" w:cs="仿宋_GB2312"/>
          <w:color w:val="auto"/>
          <w:szCs w:val="32"/>
        </w:rPr>
        <w:t>。</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福建省泉州市中级</w:t>
      </w:r>
      <w:r>
        <w:rPr>
          <w:rFonts w:hint="eastAsia" w:ascii="仿宋_GB2312" w:hAnsi="仿宋_GB2312" w:eastAsia="仿宋_GB2312" w:cs="仿宋_GB2312"/>
          <w:color w:val="auto"/>
          <w:szCs w:val="32"/>
        </w:rPr>
        <w:t>人民法院于</w:t>
      </w:r>
      <w:r>
        <w:rPr>
          <w:rFonts w:hint="eastAsia" w:ascii="仿宋_GB2312" w:hAnsi="仿宋_GB2312" w:cs="仿宋_GB2312"/>
          <w:color w:val="auto"/>
          <w:szCs w:val="32"/>
          <w:lang w:val="en-US" w:eastAsia="zh-CN"/>
        </w:rPr>
        <w:t>2015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9</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2015</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泉</w:t>
      </w:r>
      <w:r>
        <w:rPr>
          <w:rFonts w:hint="eastAsia" w:ascii="仿宋_GB2312" w:hAnsi="仿宋_GB2312" w:eastAsia="仿宋_GB2312" w:cs="仿宋_GB2312"/>
          <w:color w:val="auto"/>
          <w:szCs w:val="32"/>
        </w:rPr>
        <w:t>刑</w:t>
      </w:r>
      <w:r>
        <w:rPr>
          <w:rFonts w:hint="eastAsia" w:ascii="仿宋_GB2312" w:hAnsi="仿宋_GB2312" w:cs="仿宋_GB2312"/>
          <w:color w:val="auto"/>
          <w:szCs w:val="32"/>
          <w:lang w:eastAsia="zh-CN"/>
        </w:rPr>
        <w:t>初</w:t>
      </w:r>
      <w:r>
        <w:rPr>
          <w:rFonts w:hint="eastAsia" w:ascii="仿宋_GB2312" w:hAnsi="仿宋_GB2312" w:eastAsia="仿宋_GB2312" w:cs="仿宋_GB2312"/>
          <w:color w:val="auto"/>
          <w:szCs w:val="32"/>
        </w:rPr>
        <w:t>字第</w:t>
      </w:r>
      <w:r>
        <w:rPr>
          <w:rFonts w:hint="eastAsia" w:ascii="仿宋_GB2312" w:hAnsi="仿宋_GB2312" w:cs="仿宋_GB2312"/>
          <w:color w:val="auto"/>
          <w:szCs w:val="32"/>
          <w:lang w:val="en-US" w:eastAsia="zh-CN"/>
        </w:rPr>
        <w:t>41</w:t>
      </w:r>
      <w:r>
        <w:rPr>
          <w:rFonts w:hint="eastAsia" w:ascii="仿宋_GB2312" w:hAnsi="仿宋_GB2312" w:eastAsia="仿宋_GB2312" w:cs="仿宋_GB2312"/>
          <w:color w:val="auto"/>
          <w:szCs w:val="32"/>
        </w:rPr>
        <w:t>号刑事判决，以被告人</w:t>
      </w:r>
      <w:r>
        <w:rPr>
          <w:rFonts w:hint="eastAsia" w:ascii="仿宋_GB2312" w:hAnsi="仿宋_GB2312" w:cs="仿宋_GB2312"/>
          <w:color w:val="auto"/>
          <w:szCs w:val="32"/>
          <w:lang w:eastAsia="zh-CN"/>
        </w:rPr>
        <w:t>苏建聪</w:t>
      </w:r>
      <w:r>
        <w:rPr>
          <w:rFonts w:hint="eastAsia" w:ascii="仿宋_GB2312" w:hAnsi="仿宋_GB2312" w:eastAsia="仿宋_GB2312" w:cs="仿宋_GB2312"/>
          <w:color w:val="auto"/>
          <w:szCs w:val="32"/>
        </w:rPr>
        <w:t>犯</w:t>
      </w:r>
      <w:r>
        <w:rPr>
          <w:rFonts w:hint="eastAsia" w:ascii="仿宋_GB2312" w:hAnsi="仿宋_GB2312" w:cs="仿宋_GB2312"/>
          <w:color w:val="auto"/>
          <w:szCs w:val="32"/>
          <w:lang w:eastAsia="zh-CN"/>
        </w:rPr>
        <w:t>贩卖毒品</w:t>
      </w:r>
      <w:r>
        <w:rPr>
          <w:rFonts w:hint="eastAsia" w:ascii="仿宋_GB2312" w:hAnsi="仿宋_GB2312" w:eastAsia="仿宋_GB2312" w:cs="仿宋_GB2312"/>
          <w:color w:val="auto"/>
          <w:szCs w:val="32"/>
        </w:rPr>
        <w:t>罪，判处</w:t>
      </w:r>
      <w:r>
        <w:rPr>
          <w:rFonts w:hint="eastAsia" w:ascii="仿宋_GB2312" w:hAnsi="仿宋_GB2312" w:cs="仿宋_GB2312"/>
          <w:color w:val="auto"/>
          <w:szCs w:val="32"/>
          <w:lang w:eastAsia="zh-CN"/>
        </w:rPr>
        <w:t>死刑，缓期二年执行，剥夺政治权利终身，并处没收个人全部财产；犯容留他人吸毒罪，判处有期徒刑六个月，并处罚金人民币</w:t>
      </w:r>
      <w:r>
        <w:rPr>
          <w:rFonts w:hint="eastAsia" w:ascii="仿宋_GB2312" w:hAnsi="仿宋_GB2312" w:cs="仿宋_GB2312"/>
          <w:color w:val="auto"/>
          <w:szCs w:val="32"/>
          <w:lang w:val="en-US" w:eastAsia="zh-CN"/>
        </w:rPr>
        <w:t>1000元，决定执行死刑，缓期二年执行，剥夺政治权利终身，并处没收个人全部财产，继续追缴违法所得。</w:t>
      </w:r>
      <w:r>
        <w:rPr>
          <w:rFonts w:hint="eastAsia" w:ascii="仿宋_GB2312" w:hAnsi="仿宋_GB2312" w:eastAsia="仿宋_GB2312" w:cs="仿宋_GB2312"/>
          <w:color w:val="auto"/>
          <w:szCs w:val="32"/>
        </w:rPr>
        <w:t>宣判后，该犯不服，提出上诉。福建省</w:t>
      </w:r>
      <w:r>
        <w:rPr>
          <w:rFonts w:hint="eastAsia" w:ascii="仿宋_GB2312" w:hAnsi="仿宋_GB2312" w:cs="仿宋_GB2312"/>
          <w:color w:val="auto"/>
          <w:szCs w:val="32"/>
          <w:lang w:eastAsia="zh-CN"/>
        </w:rPr>
        <w:t>高</w:t>
      </w:r>
      <w:r>
        <w:rPr>
          <w:rFonts w:hint="eastAsia" w:ascii="仿宋_GB2312" w:hAnsi="仿宋_GB2312" w:eastAsia="仿宋_GB2312" w:cs="仿宋_GB2312"/>
          <w:color w:val="auto"/>
          <w:szCs w:val="32"/>
        </w:rPr>
        <w:t>级人民法院于</w:t>
      </w:r>
      <w:r>
        <w:rPr>
          <w:rFonts w:hint="eastAsia" w:ascii="仿宋_GB2312" w:hAnsi="仿宋_GB2312" w:cs="仿宋_GB2312"/>
          <w:color w:val="auto"/>
          <w:szCs w:val="32"/>
          <w:lang w:val="en-US" w:eastAsia="zh-CN"/>
        </w:rPr>
        <w:t>2016</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5</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9</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2015</w:t>
      </w:r>
      <w:r>
        <w:rPr>
          <w:rFonts w:hint="eastAsia" w:ascii="仿宋_GB2312" w:hAnsi="仿宋_GB2312" w:eastAsia="仿宋_GB2312" w:cs="仿宋_GB2312"/>
          <w:color w:val="auto"/>
          <w:szCs w:val="32"/>
        </w:rPr>
        <w:t>）闽刑终</w:t>
      </w:r>
      <w:r>
        <w:rPr>
          <w:rFonts w:hint="eastAsia" w:ascii="仿宋_GB2312" w:hAnsi="仿宋_GB2312" w:cs="仿宋_GB2312"/>
          <w:color w:val="auto"/>
          <w:szCs w:val="32"/>
          <w:lang w:eastAsia="zh-CN"/>
        </w:rPr>
        <w:t>字第</w:t>
      </w:r>
      <w:r>
        <w:rPr>
          <w:rFonts w:hint="eastAsia" w:ascii="仿宋_GB2312" w:hAnsi="仿宋_GB2312" w:cs="仿宋_GB2312"/>
          <w:color w:val="auto"/>
          <w:szCs w:val="32"/>
          <w:lang w:val="en-US" w:eastAsia="zh-CN"/>
        </w:rPr>
        <w:t>433</w:t>
      </w:r>
      <w:r>
        <w:rPr>
          <w:rFonts w:hint="eastAsia" w:ascii="仿宋_GB2312" w:hAnsi="仿宋_GB2312" w:eastAsia="仿宋_GB2312" w:cs="仿宋_GB2312"/>
          <w:color w:val="auto"/>
          <w:szCs w:val="32"/>
        </w:rPr>
        <w:t>号刑事裁定，驳回上诉，维持原判。</w:t>
      </w:r>
      <w:r>
        <w:rPr>
          <w:rFonts w:hint="eastAsia" w:ascii="仿宋_GB2312" w:hAnsi="仿宋_GB2312" w:cs="仿宋_GB2312"/>
          <w:color w:val="auto"/>
          <w:szCs w:val="32"/>
          <w:lang w:val="en-US" w:eastAsia="zh-CN"/>
        </w:rPr>
        <w:t>2016</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5</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23</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监狱执行刑罚。</w:t>
      </w:r>
      <w:r>
        <w:rPr>
          <w:rFonts w:hint="eastAsia" w:ascii="仿宋_GB2312" w:hAnsi="仿宋_GB2312" w:cs="仿宋_GB2312"/>
          <w:color w:val="auto"/>
          <w:szCs w:val="32"/>
          <w:lang w:val="en-US" w:eastAsia="zh-CN"/>
        </w:rPr>
        <w:t>2018</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16</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福建省高级</w:t>
      </w:r>
      <w:r>
        <w:rPr>
          <w:rFonts w:hint="eastAsia" w:ascii="仿宋_GB2312" w:hAnsi="仿宋_GB2312" w:eastAsia="仿宋_GB2312" w:cs="仿宋_GB2312"/>
          <w:color w:val="auto"/>
          <w:szCs w:val="32"/>
        </w:rPr>
        <w:t>人民法院以</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2018</w:t>
      </w:r>
      <w:r>
        <w:rPr>
          <w:rFonts w:hint="eastAsia" w:ascii="仿宋_GB2312" w:hAnsi="仿宋_GB2312" w:cs="仿宋_GB2312"/>
          <w:color w:val="auto"/>
          <w:szCs w:val="32"/>
          <w:lang w:eastAsia="zh-CN"/>
        </w:rPr>
        <w:t>）闽刑更</w:t>
      </w:r>
      <w:r>
        <w:rPr>
          <w:rFonts w:hint="eastAsia" w:ascii="仿宋_GB2312" w:hAnsi="仿宋_GB2312" w:cs="仿宋_GB2312"/>
          <w:color w:val="auto"/>
          <w:szCs w:val="32"/>
          <w:lang w:val="en-US" w:eastAsia="zh-CN"/>
        </w:rPr>
        <w:t>238号</w:t>
      </w:r>
      <w:r>
        <w:rPr>
          <w:rFonts w:hint="eastAsia" w:ascii="仿宋_GB2312" w:hAnsi="仿宋_GB2312" w:eastAsia="仿宋_GB2312" w:cs="仿宋_GB2312"/>
          <w:color w:val="auto"/>
          <w:szCs w:val="32"/>
        </w:rPr>
        <w:t>刑事裁定书，对其减为</w:t>
      </w:r>
      <w:r>
        <w:rPr>
          <w:rFonts w:hint="eastAsia" w:ascii="仿宋_GB2312" w:hAnsi="仿宋_GB2312" w:cs="仿宋_GB2312"/>
          <w:color w:val="auto"/>
          <w:szCs w:val="32"/>
          <w:lang w:eastAsia="zh-CN"/>
        </w:rPr>
        <w:t>无期徒刑</w:t>
      </w:r>
      <w:r>
        <w:rPr>
          <w:rFonts w:hint="eastAsia" w:ascii="仿宋_GB2312" w:hAnsi="仿宋_GB2312" w:eastAsia="仿宋_GB2312" w:cs="仿宋_GB2312"/>
          <w:color w:val="auto"/>
          <w:szCs w:val="32"/>
        </w:rPr>
        <w:t>，剥夺政治权利</w:t>
      </w:r>
      <w:r>
        <w:rPr>
          <w:rFonts w:hint="eastAsia" w:ascii="仿宋_GB2312" w:hAnsi="仿宋_GB2312" w:cs="仿宋_GB2312"/>
          <w:color w:val="auto"/>
          <w:szCs w:val="32"/>
          <w:lang w:eastAsia="zh-CN"/>
        </w:rPr>
        <w:t>终身</w:t>
      </w:r>
      <w:r>
        <w:rPr>
          <w:rFonts w:hint="eastAsia" w:ascii="仿宋_GB2312" w:hAnsi="仿宋_GB2312" w:eastAsia="仿宋_GB2312" w:cs="仿宋_GB2312"/>
          <w:color w:val="auto"/>
          <w:szCs w:val="32"/>
        </w:rPr>
        <w:t>不变。</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19</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福建省高级</w:t>
      </w:r>
      <w:r>
        <w:rPr>
          <w:rFonts w:hint="eastAsia" w:ascii="仿宋_GB2312" w:hAnsi="仿宋_GB2312" w:eastAsia="仿宋_GB2312" w:cs="仿宋_GB2312"/>
          <w:color w:val="auto"/>
          <w:szCs w:val="32"/>
        </w:rPr>
        <w:t>人民法院</w:t>
      </w:r>
      <w:r>
        <w:rPr>
          <w:rFonts w:hint="eastAsia" w:ascii="仿宋_GB2312" w:hAnsi="仿宋_GB2312" w:eastAsia="仿宋_GB2312" w:cs="仿宋_GB2312"/>
          <w:color w:val="auto"/>
          <w:szCs w:val="32"/>
          <w:lang w:val="en-US" w:eastAsia="zh-CN"/>
        </w:rPr>
        <w:t>以（</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lang w:val="en-US" w:eastAsia="zh-CN"/>
        </w:rPr>
        <w:t>）闽刑更</w:t>
      </w:r>
      <w:r>
        <w:rPr>
          <w:rFonts w:hint="eastAsia" w:ascii="仿宋_GB2312" w:hAnsi="仿宋_GB2312" w:cs="仿宋_GB2312"/>
          <w:color w:val="auto"/>
          <w:szCs w:val="32"/>
          <w:lang w:val="en-US" w:eastAsia="zh-CN"/>
        </w:rPr>
        <w:t>352</w:t>
      </w:r>
      <w:r>
        <w:rPr>
          <w:rFonts w:hint="eastAsia" w:ascii="仿宋_GB2312" w:hAnsi="仿宋_GB2312" w:eastAsia="仿宋_GB2312" w:cs="仿宋_GB2312"/>
          <w:color w:val="auto"/>
          <w:szCs w:val="32"/>
          <w:lang w:val="en-US" w:eastAsia="zh-CN"/>
        </w:rPr>
        <w:t>号刑事裁定书</w:t>
      </w:r>
      <w:r>
        <w:rPr>
          <w:rFonts w:hint="eastAsia" w:ascii="仿宋_GB2312" w:hAnsi="仿宋_GB2312" w:eastAsia="仿宋_GB2312" w:cs="仿宋_GB2312"/>
          <w:color w:val="auto"/>
          <w:szCs w:val="32"/>
        </w:rPr>
        <w:t>，对其减</w:t>
      </w:r>
      <w:r>
        <w:rPr>
          <w:rFonts w:hint="eastAsia" w:ascii="仿宋_GB2312" w:hAnsi="仿宋_GB2312" w:cs="仿宋_GB2312"/>
          <w:color w:val="auto"/>
          <w:szCs w:val="32"/>
          <w:lang w:eastAsia="zh-CN"/>
        </w:rPr>
        <w:t>为有期徒刑二十五年</w:t>
      </w:r>
      <w:r>
        <w:rPr>
          <w:rFonts w:hint="eastAsia" w:ascii="仿宋_GB2312" w:hAnsi="仿宋_GB2312" w:eastAsia="仿宋_GB2312" w:cs="仿宋_GB2312"/>
          <w:color w:val="auto"/>
          <w:szCs w:val="32"/>
        </w:rPr>
        <w:t>，剥夺政治权利</w:t>
      </w:r>
      <w:r>
        <w:rPr>
          <w:rFonts w:hint="eastAsia" w:ascii="仿宋_GB2312" w:hAnsi="仿宋_GB2312" w:cs="仿宋_GB2312"/>
          <w:color w:val="auto"/>
          <w:szCs w:val="32"/>
          <w:lang w:eastAsia="zh-CN"/>
        </w:rPr>
        <w:t>改为十年，刑期自</w:t>
      </w:r>
      <w:r>
        <w:rPr>
          <w:rFonts w:hint="eastAsia" w:ascii="仿宋_GB2312" w:hAnsi="仿宋_GB2312" w:cs="仿宋_GB2312"/>
          <w:color w:val="auto"/>
          <w:szCs w:val="32"/>
          <w:lang w:val="en-US" w:eastAsia="zh-CN"/>
        </w:rPr>
        <w:t>2022年8月19日起至2047年8月18日止，2022</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9</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27</w:t>
      </w:r>
      <w:r>
        <w:rPr>
          <w:rFonts w:hint="eastAsia" w:ascii="仿宋_GB2312" w:hAnsi="仿宋_GB2312" w:eastAsia="仿宋_GB2312" w:cs="仿宋_GB2312"/>
          <w:color w:val="auto"/>
          <w:szCs w:val="32"/>
        </w:rPr>
        <w:t>日送达。属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iCs/>
          <w:color w:val="auto"/>
          <w:kern w:val="0"/>
          <w:szCs w:val="32"/>
          <w:lang w:val="zh-CN"/>
        </w:rPr>
        <w:t>自</w:t>
      </w:r>
      <w:r>
        <w:rPr>
          <w:rFonts w:hint="eastAsia" w:ascii="仿宋_GB2312" w:hAnsi="仿宋_GB2312" w:eastAsia="仿宋_GB2312" w:cs="仿宋_GB2312"/>
          <w:iCs/>
          <w:color w:val="auto"/>
          <w:kern w:val="0"/>
          <w:szCs w:val="32"/>
          <w:lang w:val="en-US" w:eastAsia="zh-CN"/>
        </w:rPr>
        <w:t>上次</w:t>
      </w:r>
      <w:r>
        <w:rPr>
          <w:rFonts w:hint="eastAsia" w:ascii="仿宋_GB2312" w:hAnsi="仿宋_GB2312" w:eastAsia="仿宋_GB2312" w:cs="仿宋_GB2312"/>
          <w:iCs/>
          <w:color w:val="auto"/>
          <w:kern w:val="0"/>
          <w:szCs w:val="32"/>
          <w:lang w:val="zh-CN"/>
        </w:rPr>
        <w:t>减刑以来</w:t>
      </w:r>
      <w:r>
        <w:rPr>
          <w:rFonts w:hint="eastAsia" w:ascii="仿宋_GB2312" w:hAnsi="仿宋_GB2312" w:eastAsia="仿宋_GB2312" w:cs="仿宋_GB2312"/>
          <w:color w:val="auto"/>
          <w:szCs w:val="32"/>
        </w:rPr>
        <w:t>确有悔改表现，具体事实如下：</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仿宋_GB2312" w:hAnsi="仿宋_GB2312" w:eastAsia="仿宋_GB2312" w:cs="仿宋_GB2312"/>
          <w:iCs/>
          <w:color w:val="auto"/>
          <w:kern w:val="2"/>
          <w:szCs w:val="32"/>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w:t>
      </w:r>
      <w:r>
        <w:rPr>
          <w:rFonts w:hint="eastAsia" w:ascii="仿宋_GB2312" w:hAnsi="仿宋_GB2312" w:cs="仿宋_GB2312"/>
          <w:color w:val="auto"/>
          <w:szCs w:val="32"/>
          <w:lang w:val="zh-CN"/>
        </w:rPr>
        <w:t>该犯考核期内虽有违规，但经民警教育后，能认识到错误，有悔改表现，本次提请前能遵守法律法规及监规纪律，接受教育改造</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ind w:left="640" w:firstLine="0" w:firstLineChars="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ind w:firstLine="64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pStyle w:val="11"/>
        <w:keepNext w:val="0"/>
        <w:keepLines w:val="0"/>
        <w:pageBreakBefore w:val="0"/>
        <w:widowControl w:val="0"/>
        <w:kinsoku/>
        <w:wordWrap/>
        <w:overflowPunct/>
        <w:topLinePunct w:val="0"/>
        <w:bidi w:val="0"/>
        <w:snapToGrid/>
        <w:spacing w:line="420" w:lineRule="exact"/>
        <w:ind w:firstLine="64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Cs/>
          <w:color w:val="auto"/>
          <w:szCs w:val="32"/>
          <w:lang w:val="zh-CN" w:eastAsia="zh-CN"/>
        </w:rPr>
        <w:t>奖惩情况：</w:t>
      </w:r>
      <w:r>
        <w:rPr>
          <w:rFonts w:hint="eastAsia" w:ascii="仿宋_GB2312" w:hAnsi="仿宋_GB2312" w:eastAsia="仿宋_GB2312" w:cs="仿宋_GB2312"/>
          <w:color w:val="auto"/>
          <w:szCs w:val="32"/>
        </w:rPr>
        <w:t>该犯上次评定表扬剩余考核分461.5分，本轮考核期2022年4月至2025年5月累计获考核分4082分，合计获得考核分4543.5分，表扬6次，物质奖励1次；间隔期2022年9月27日至2025年5月，获考核分3457分。考核期内违规2次，累计扣9分，无重大违规。</w:t>
      </w:r>
    </w:p>
    <w:p>
      <w:pPr>
        <w:keepNext w:val="0"/>
        <w:keepLines w:val="0"/>
        <w:pageBreakBefore w:val="0"/>
        <w:widowControl w:val="0"/>
        <w:numPr>
          <w:ilvl w:val="0"/>
          <w:numId w:val="0"/>
        </w:numPr>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原判财产性判项没收个人全部财产，已履行人民币5500元，继续追缴违法所得，已履行人民币2000元；其中本次提请向福建省泉州市中级人民法院缴纳没收个人财产人民币4500元。该犯考核期月均消费人民币289.54元，账户可用余额人民币668.24元。2025年5月9日福建省晋江市人民法院财产性判项复函载明：截止2025年5月9日再查无被执行人可供执行的财产。</w:t>
      </w:r>
    </w:p>
    <w:p>
      <w:pPr>
        <w:keepNext w:val="0"/>
        <w:keepLines w:val="0"/>
        <w:pageBreakBefore w:val="0"/>
        <w:widowControl w:val="0"/>
        <w:numPr>
          <w:ilvl w:val="0"/>
          <w:numId w:val="0"/>
        </w:numPr>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该犯系</w:t>
      </w:r>
      <w:r>
        <w:rPr>
          <w:rFonts w:hint="eastAsia" w:ascii="仿宋_GB2312" w:hAnsi="仿宋_GB2312" w:cs="仿宋_GB2312"/>
          <w:color w:val="auto"/>
          <w:szCs w:val="32"/>
          <w:lang w:eastAsia="zh-CN"/>
        </w:rPr>
        <w:t>累犯且系毒品再犯</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又系数罪并罚被判处死刑，缓期二年执行罪犯，</w:t>
      </w:r>
      <w:r>
        <w:rPr>
          <w:rFonts w:hint="eastAsia" w:ascii="仿宋_GB2312" w:hAnsi="仿宋_GB2312" w:eastAsia="仿宋_GB2312" w:cs="仿宋_GB2312"/>
          <w:color w:val="auto"/>
          <w:szCs w:val="32"/>
        </w:rPr>
        <w:t>属于从严掌握减刑对象，因此提请减刑幅度扣减</w:t>
      </w:r>
      <w:r>
        <w:rPr>
          <w:rFonts w:hint="eastAsia" w:ascii="仿宋_GB2312" w:hAnsi="仿宋_GB2312" w:cs="仿宋_GB2312"/>
          <w:color w:val="auto"/>
          <w:szCs w:val="32"/>
          <w:lang w:eastAsia="zh-CN"/>
        </w:rPr>
        <w:t>二</w:t>
      </w:r>
      <w:r>
        <w:rPr>
          <w:rFonts w:hint="eastAsia" w:ascii="仿宋_GB2312" w:hAnsi="仿宋_GB2312" w:eastAsia="仿宋_GB2312" w:cs="仿宋_GB2312"/>
          <w:color w:val="auto"/>
          <w:szCs w:val="32"/>
        </w:rPr>
        <w:t>个月。</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本案于2025年8月16日至2025年8月22日在狱内公示未收到不同意见。</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苏建聪</w:t>
      </w:r>
      <w:r>
        <w:rPr>
          <w:rFonts w:hint="eastAsia" w:ascii="仿宋_GB2312" w:hAnsi="仿宋_GB2312" w:eastAsia="仿宋_GB2312" w:cs="仿宋_GB2312"/>
          <w:color w:val="auto"/>
          <w:szCs w:val="32"/>
        </w:rPr>
        <w:t>予以减刑</w:t>
      </w:r>
      <w:r>
        <w:rPr>
          <w:rFonts w:hint="eastAsia" w:ascii="仿宋_GB2312" w:hAnsi="仿宋_GB2312" w:cs="仿宋_GB2312"/>
          <w:color w:val="auto"/>
          <w:szCs w:val="32"/>
          <w:lang w:eastAsia="zh-CN"/>
        </w:rPr>
        <w:t>七</w:t>
      </w:r>
      <w:r>
        <w:rPr>
          <w:rFonts w:hint="eastAsia" w:ascii="仿宋_GB2312" w:hAnsi="仿宋_GB2312" w:eastAsia="仿宋_GB2312" w:cs="仿宋_GB2312"/>
          <w:color w:val="auto"/>
          <w:szCs w:val="32"/>
        </w:rPr>
        <w:t>个月，剥夺政治权利</w:t>
      </w:r>
      <w:r>
        <w:rPr>
          <w:rFonts w:hint="eastAsia" w:ascii="仿宋_GB2312" w:hAnsi="仿宋_GB2312" w:cs="仿宋_GB2312"/>
          <w:color w:val="auto"/>
          <w:szCs w:val="32"/>
          <w:lang w:eastAsia="zh-CN"/>
        </w:rPr>
        <w:t>十</w:t>
      </w:r>
      <w:r>
        <w:rPr>
          <w:rFonts w:hint="eastAsia" w:ascii="仿宋_GB2312" w:hAnsi="仿宋_GB2312" w:eastAsia="仿宋_GB2312" w:cs="仿宋_GB2312"/>
          <w:color w:val="auto"/>
          <w:szCs w:val="32"/>
        </w:rPr>
        <w:t>年不变。特提请你院审理裁定。</w:t>
      </w:r>
    </w:p>
    <w:p>
      <w:pPr>
        <w:pStyle w:val="2"/>
        <w:keepNext w:val="0"/>
        <w:keepLines w:val="0"/>
        <w:pageBreakBefore w:val="0"/>
        <w:widowControl w:val="0"/>
        <w:kinsoku/>
        <w:wordWrap/>
        <w:overflowPunct/>
        <w:topLinePunct w:val="0"/>
        <w:bidi w:val="0"/>
        <w:snapToGrid/>
        <w:spacing w:line="42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42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市中级人民法院</w:t>
      </w:r>
    </w:p>
    <w:p>
      <w:pPr>
        <w:pStyle w:val="11"/>
        <w:keepNext w:val="0"/>
        <w:keepLines w:val="0"/>
        <w:pageBreakBefore w:val="0"/>
        <w:widowControl w:val="0"/>
        <w:kinsoku/>
        <w:wordWrap/>
        <w:overflowPunct/>
        <w:topLinePunct w:val="0"/>
        <w:bidi w:val="0"/>
        <w:snapToGrid/>
        <w:spacing w:line="420" w:lineRule="exact"/>
        <w:ind w:left="640" w:firstLine="0" w:firstLineChars="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42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苏建聪</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eastAsia="zh-CN"/>
        </w:rPr>
        <w:t>二</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42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eastAsia="zh-CN"/>
        </w:rPr>
        <w:t>二</w:t>
      </w:r>
      <w:r>
        <w:rPr>
          <w:rFonts w:hint="eastAsia" w:ascii="仿宋_GB2312" w:hAnsi="仿宋_GB2312" w:eastAsia="仿宋_GB2312" w:cs="仿宋_GB2312"/>
          <w:color w:val="auto"/>
          <w:szCs w:val="32"/>
        </w:rPr>
        <w:t>份</w:t>
      </w:r>
    </w:p>
    <w:p>
      <w:pPr>
        <w:keepNext w:val="0"/>
        <w:keepLines w:val="0"/>
        <w:pageBreakBefore w:val="0"/>
        <w:widowControl w:val="0"/>
        <w:kinsoku/>
        <w:wordWrap/>
        <w:overflowPunct/>
        <w:topLinePunct w:val="0"/>
        <w:bidi w:val="0"/>
        <w:snapToGrid/>
        <w:spacing w:line="420" w:lineRule="exact"/>
        <w:jc w:val="left"/>
        <w:textAlignment w:val="auto"/>
        <w:rPr>
          <w:rFonts w:hint="eastAsia" w:ascii="仿宋_GB2312" w:hAnsi="仿宋_GB2312" w:eastAsia="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42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p>
    <w:p>
      <w:pPr>
        <w:pStyle w:val="2"/>
        <w:keepNext w:val="0"/>
        <w:keepLines w:val="0"/>
        <w:pageBreakBefore w:val="0"/>
        <w:widowControl w:val="0"/>
        <w:kinsoku/>
        <w:wordWrap/>
        <w:overflowPunct/>
        <w:topLinePunct w:val="0"/>
        <w:autoSpaceDE/>
        <w:autoSpaceDN/>
        <w:bidi w:val="0"/>
        <w:adjustRightInd/>
        <w:snapToGrid/>
        <w:spacing w:line="42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28</w:t>
      </w:r>
      <w:r>
        <w:rPr>
          <w:rFonts w:hint="eastAsia" w:ascii="仿宋_GB2312" w:hAnsi="仿宋_GB2312" w:eastAsia="仿宋_GB2312" w:cs="仿宋_GB2312"/>
          <w:color w:val="auto"/>
          <w:szCs w:val="32"/>
        </w:rPr>
        <w:t>日</w:t>
      </w:r>
    </w:p>
    <w:sectPr>
      <w:headerReference r:id="rId3" w:type="first"/>
      <w:pgSz w:w="11905" w:h="16838"/>
      <w:pgMar w:top="1871" w:right="1304" w:bottom="1871" w:left="1587" w:header="850" w:footer="992" w:gutter="0"/>
      <w:pgNumType w:fmt="decimal"/>
      <w:cols w:space="720" w:num="1"/>
      <w:titlePg/>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27D12FB"/>
    <w:rsid w:val="03D326C2"/>
    <w:rsid w:val="05907E6F"/>
    <w:rsid w:val="05AE6D00"/>
    <w:rsid w:val="068233F5"/>
    <w:rsid w:val="07AF789A"/>
    <w:rsid w:val="07B61CB8"/>
    <w:rsid w:val="081648E2"/>
    <w:rsid w:val="09227170"/>
    <w:rsid w:val="0B3926E1"/>
    <w:rsid w:val="0B601E14"/>
    <w:rsid w:val="0C3E42D9"/>
    <w:rsid w:val="0C4F75DC"/>
    <w:rsid w:val="0C533497"/>
    <w:rsid w:val="0C9C0BFA"/>
    <w:rsid w:val="0D2A26C0"/>
    <w:rsid w:val="0D9F4467"/>
    <w:rsid w:val="0E6A25F4"/>
    <w:rsid w:val="0EB305C3"/>
    <w:rsid w:val="0F137CB5"/>
    <w:rsid w:val="0F2F70D8"/>
    <w:rsid w:val="110C5044"/>
    <w:rsid w:val="123256F8"/>
    <w:rsid w:val="12D37334"/>
    <w:rsid w:val="12FD5513"/>
    <w:rsid w:val="13266B46"/>
    <w:rsid w:val="152B74B3"/>
    <w:rsid w:val="16351665"/>
    <w:rsid w:val="16695B42"/>
    <w:rsid w:val="1672618E"/>
    <w:rsid w:val="16B164BB"/>
    <w:rsid w:val="18672CAA"/>
    <w:rsid w:val="1A3A0366"/>
    <w:rsid w:val="1A797B98"/>
    <w:rsid w:val="1B3651A3"/>
    <w:rsid w:val="1C9B58CA"/>
    <w:rsid w:val="1CF81B82"/>
    <w:rsid w:val="1E1E4170"/>
    <w:rsid w:val="1E254562"/>
    <w:rsid w:val="1ECB0040"/>
    <w:rsid w:val="1EF06AE1"/>
    <w:rsid w:val="20C10415"/>
    <w:rsid w:val="234818AA"/>
    <w:rsid w:val="23897252"/>
    <w:rsid w:val="23B42751"/>
    <w:rsid w:val="26E37AA5"/>
    <w:rsid w:val="27181640"/>
    <w:rsid w:val="272C7075"/>
    <w:rsid w:val="27682819"/>
    <w:rsid w:val="29587091"/>
    <w:rsid w:val="29604064"/>
    <w:rsid w:val="2BFD2379"/>
    <w:rsid w:val="2C2F2A0F"/>
    <w:rsid w:val="2C7845C8"/>
    <w:rsid w:val="2D5B3696"/>
    <w:rsid w:val="36653D31"/>
    <w:rsid w:val="36986D96"/>
    <w:rsid w:val="373C6C4A"/>
    <w:rsid w:val="39545F92"/>
    <w:rsid w:val="41A62016"/>
    <w:rsid w:val="42CF6EF1"/>
    <w:rsid w:val="43021637"/>
    <w:rsid w:val="45266F69"/>
    <w:rsid w:val="45C25924"/>
    <w:rsid w:val="469C4BB4"/>
    <w:rsid w:val="46FC731C"/>
    <w:rsid w:val="48D509FB"/>
    <w:rsid w:val="48E92855"/>
    <w:rsid w:val="49FD60CF"/>
    <w:rsid w:val="4A937854"/>
    <w:rsid w:val="4C0C55BD"/>
    <w:rsid w:val="4CAA121D"/>
    <w:rsid w:val="4DBE49B0"/>
    <w:rsid w:val="4FDA015F"/>
    <w:rsid w:val="50DC6110"/>
    <w:rsid w:val="526176C0"/>
    <w:rsid w:val="526A219B"/>
    <w:rsid w:val="52EC3536"/>
    <w:rsid w:val="533D0693"/>
    <w:rsid w:val="53EC7365"/>
    <w:rsid w:val="54647A90"/>
    <w:rsid w:val="55095EB9"/>
    <w:rsid w:val="57AD1E54"/>
    <w:rsid w:val="599B42E1"/>
    <w:rsid w:val="5C7D3B00"/>
    <w:rsid w:val="5D2B27E7"/>
    <w:rsid w:val="5D602AFE"/>
    <w:rsid w:val="5EFD0E28"/>
    <w:rsid w:val="5FAF5AA3"/>
    <w:rsid w:val="5FB32327"/>
    <w:rsid w:val="60C3179E"/>
    <w:rsid w:val="6385269A"/>
    <w:rsid w:val="63997AC2"/>
    <w:rsid w:val="64061DAE"/>
    <w:rsid w:val="64F2539B"/>
    <w:rsid w:val="677279CA"/>
    <w:rsid w:val="6A243776"/>
    <w:rsid w:val="6BFF7DB3"/>
    <w:rsid w:val="6E337CDC"/>
    <w:rsid w:val="6E5724CC"/>
    <w:rsid w:val="6FA16DDA"/>
    <w:rsid w:val="71277157"/>
    <w:rsid w:val="71743704"/>
    <w:rsid w:val="73991756"/>
    <w:rsid w:val="73AB002E"/>
    <w:rsid w:val="77564B75"/>
    <w:rsid w:val="7B711D81"/>
    <w:rsid w:val="7DE84F16"/>
    <w:rsid w:val="7E300D0E"/>
    <w:rsid w:val="7EA527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字符"/>
    <w:link w:val="2"/>
    <w:qFormat/>
    <w:locked/>
    <w:uiPriority w:val="99"/>
    <w:rPr>
      <w:rFonts w:eastAsia="仿宋_GB2312"/>
      <w:kern w:val="32"/>
      <w:sz w:val="32"/>
    </w:rPr>
  </w:style>
  <w:style w:type="character" w:customStyle="1" w:styleId="10">
    <w:name w:val="批注框文本 字符"/>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105</TotalTime>
  <ScaleCrop>false</ScaleCrop>
  <LinksUpToDate>false</LinksUpToDate>
  <CharactersWithSpaces>10347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2025-07-08T08:32:00Z</cp:lastPrinted>
  <dcterms:modified xsi:type="dcterms:W3CDTF">2025-08-28T08:52:07Z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