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20" w:lineRule="exact"/>
        <w:ind w:right="-14" w:rightChars="0"/>
        <w:jc w:val="right"/>
        <w:textAlignment w:val="auto"/>
        <w:rPr>
          <w:rFonts w:hint="eastAsia" w:eastAsia="楷体_GB2312" w:cs="楷体_GB2312"/>
          <w:szCs w:val="32"/>
        </w:rPr>
      </w:pPr>
      <w:r>
        <w:rPr>
          <w:rFonts w:hint="default" w:ascii="Times New Roman" w:hAnsi="Times New Roman" w:eastAsia="楷体_GB2312" w:cs="Times New Roman"/>
          <w:szCs w:val="32"/>
        </w:rPr>
        <w:t>〔20</w:t>
      </w:r>
      <w:r>
        <w:rPr>
          <w:rFonts w:hint="eastAsia" w:ascii="Times New Roman" w:hAnsi="Times New Roman" w:eastAsia="楷体_GB2312" w:cs="Times New Roman"/>
          <w:szCs w:val="32"/>
          <w:lang w:val="en-US" w:eastAsia="zh-CN"/>
        </w:rPr>
        <w:t>25</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40</w:t>
      </w:r>
      <w:r>
        <w:rPr>
          <w:rFonts w:hint="eastAsia" w:eastAsia="楷体_GB2312" w:cs="Times New Roman"/>
          <w:szCs w:val="32"/>
          <w:lang w:val="en-US" w:eastAsia="zh-CN"/>
        </w:rPr>
        <w:t>41</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罪犯赖炳炎</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，男，1956年3月25日出生，汉族，文盲，户籍所在地</w:t>
      </w:r>
      <w:r>
        <w:rPr>
          <w:rFonts w:hint="eastAsia" w:ascii="仿宋_GB2312" w:eastAsia="仿宋_GB2312" w:cs="仿宋_GB2312"/>
          <w:kern w:val="0"/>
          <w:sz w:val="32"/>
          <w:szCs w:val="32"/>
        </w:rPr>
        <w:t>福建省龙岩市新罗区</w:t>
      </w:r>
      <w:bookmarkStart w:id="0" w:name="_GoBack"/>
      <w:bookmarkEnd w:id="0"/>
      <w:r>
        <w:rPr>
          <w:rFonts w:hint="eastAsia" w:ascii="仿宋_GB2312" w:hAnsi="Times New Roman" w:eastAsia="仿宋_GB2312"/>
          <w:kern w:val="32"/>
          <w:sz w:val="32"/>
          <w:szCs w:val="32"/>
        </w:rPr>
        <w:t>，捕前系无业。曾因</w:t>
      </w:r>
      <w:r>
        <w:rPr>
          <w:rFonts w:hint="eastAsia" w:ascii="仿宋_GB2312" w:hAnsi="Times New Roman" w:eastAsia="仿宋_GB2312"/>
          <w:kern w:val="32"/>
          <w:sz w:val="32"/>
          <w:szCs w:val="32"/>
          <w:lang w:eastAsia="zh-CN"/>
        </w:rPr>
        <w:t>犯</w:t>
      </w:r>
      <w:r>
        <w:rPr>
          <w:rFonts w:hint="eastAsia" w:ascii="仿宋_GB2312" w:hAnsi="Times New Roman" w:eastAsia="仿宋_GB2312"/>
          <w:kern w:val="32"/>
          <w:sz w:val="32"/>
          <w:szCs w:val="32"/>
        </w:rPr>
        <w:t>盗窃罪，</w:t>
      </w:r>
      <w:r>
        <w:rPr>
          <w:rFonts w:hint="eastAsia" w:ascii="仿宋_GB2312" w:hAnsi="Times New Roman" w:eastAsia="仿宋_GB2312"/>
          <w:kern w:val="32"/>
          <w:sz w:val="32"/>
          <w:szCs w:val="32"/>
          <w:lang w:eastAsia="zh-CN"/>
        </w:rPr>
        <w:t>先后</w:t>
      </w:r>
      <w:r>
        <w:rPr>
          <w:rFonts w:hint="eastAsia" w:ascii="仿宋_GB2312" w:hAnsi="Times New Roman" w:eastAsia="仿宋_GB2312"/>
          <w:kern w:val="32"/>
          <w:sz w:val="32"/>
          <w:szCs w:val="32"/>
        </w:rPr>
        <w:t>于1984年5月7日被判处有期徒刑十三年；1998年5月4日被判处有期徒刑一年三个月；1998年12月29日被判处有期徒刑三年；2002年6月28日被判处有期徒刑六年；2010年8月17日被判处有期徒刑一年</w:t>
      </w:r>
      <w:r>
        <w:rPr>
          <w:rFonts w:hint="eastAsia" w:ascii="仿宋_GB2312" w:hAnsi="Times New Roman" w:eastAsia="仿宋_GB2312"/>
          <w:kern w:val="32"/>
          <w:sz w:val="32"/>
          <w:szCs w:val="32"/>
          <w:lang w:eastAsia="zh-CN"/>
        </w:rPr>
        <w:t>，</w:t>
      </w:r>
      <w:r>
        <w:rPr>
          <w:rFonts w:hint="eastAsia" w:ascii="仿宋_GB2312" w:hAnsi="Times New Roman" w:eastAsia="仿宋_GB2312"/>
          <w:kern w:val="32"/>
          <w:sz w:val="32"/>
          <w:szCs w:val="32"/>
        </w:rPr>
        <w:t>并处罚金人民币4000元；2012年8月16日被判处有期徒刑七个月并处罚金人民币3000元；2014年9月1日被判处有期徒刑一年三个月并处罚金人民币3000元；2020年5月22日被判处有期徒刑一年十一个月并处罚金人民币8000元，2021年9月30日刑满释放，系累犯。</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eastAsia="仿宋_GB2312" w:cs="仿宋_GB2312"/>
          <w:color w:val="000000"/>
          <w:kern w:val="0"/>
          <w:sz w:val="32"/>
          <w:szCs w:val="32"/>
        </w:rPr>
        <w:t>福建省龙岩市中级人民法院</w:t>
      </w:r>
      <w:r>
        <w:rPr>
          <w:rFonts w:hint="eastAsia" w:ascii="仿宋_GB2312" w:hAnsi="Times New Roman" w:eastAsia="仿宋_GB2312"/>
          <w:kern w:val="32"/>
          <w:sz w:val="32"/>
          <w:szCs w:val="32"/>
        </w:rPr>
        <w:t>于2022年11月29</w:t>
      </w:r>
      <w:r>
        <w:rPr>
          <w:rFonts w:hint="eastAsia" w:ascii="仿宋_GB2312" w:hAnsi="Times New Roman" w:eastAsia="仿宋_GB2312"/>
          <w:color w:val="000000"/>
          <w:kern w:val="32"/>
          <w:sz w:val="32"/>
          <w:szCs w:val="32"/>
        </w:rPr>
        <w:t>日作</w:t>
      </w:r>
      <w:r>
        <w:rPr>
          <w:rFonts w:hint="eastAsia" w:ascii="仿宋_GB2312" w:hAnsi="Times New Roman" w:eastAsia="仿宋_GB2312"/>
          <w:kern w:val="32"/>
          <w:sz w:val="32"/>
          <w:szCs w:val="32"/>
        </w:rPr>
        <w:t>出</w:t>
      </w:r>
      <w:r>
        <w:rPr>
          <w:rFonts w:hint="eastAsia" w:ascii="仿宋_GB2312" w:eastAsia="仿宋_GB2312" w:cs="仿宋_GB2312"/>
          <w:color w:val="000000"/>
          <w:kern w:val="0"/>
          <w:sz w:val="32"/>
          <w:szCs w:val="32"/>
        </w:rPr>
        <w:t>(2022)闽08刑初14号刑事附带民事判决</w:t>
      </w:r>
      <w:r>
        <w:rPr>
          <w:rFonts w:hint="eastAsia" w:ascii="仿宋_GB2312" w:hAnsi="Times New Roman" w:eastAsia="仿宋_GB2312"/>
          <w:kern w:val="32"/>
          <w:sz w:val="32"/>
          <w:szCs w:val="32"/>
        </w:rPr>
        <w:t>，以被告人赖炳炎犯故意杀人罪，判处死刑</w:t>
      </w:r>
      <w:r>
        <w:rPr>
          <w:rFonts w:hint="eastAsia" w:ascii="仿宋_GB2312" w:eastAsia="仿宋_GB2312" w:cs="仿宋_GB2312"/>
          <w:color w:val="000000"/>
          <w:kern w:val="0"/>
          <w:sz w:val="32"/>
          <w:szCs w:val="32"/>
        </w:rPr>
        <w:t>，剥夺政治权利终身；犯盗窃罪，判处有期徒刑二年，并处罚金人民币10000元；决定执行死刑，剥夺政治权利终身，并处罚金人民币10000元；被告人赔偿附带民事诉讼原告人经济损失人民币50758元；作案工具由扣押机关保管备查；龙岩市公安局培丰派出所扣押的闽FTG928黑色豪爵牌摩托车由培丰派出所归还被害人蔡炎春，扣押的现金人民币660元由培丰派出所移送福建省龙岩市中级人民法院用于本案附带民事部分执行；责令被告人赖炳炎退赔被害人被盗车辆鉴定价值损失合计人民币11712元；继续追缴被告人赖炳炎非法所得人民币2330元，上</w:t>
      </w:r>
      <w:r>
        <w:rPr>
          <w:rFonts w:hint="eastAsia" w:ascii="仿宋_GB2312" w:eastAsia="仿宋_GB2312" w:cs="仿宋_GB2312"/>
          <w:color w:val="000000"/>
          <w:kern w:val="0"/>
          <w:sz w:val="32"/>
          <w:szCs w:val="32"/>
          <w:lang w:eastAsia="zh-CN"/>
        </w:rPr>
        <w:t>缴</w:t>
      </w:r>
      <w:r>
        <w:rPr>
          <w:rFonts w:hint="eastAsia" w:ascii="仿宋_GB2312" w:eastAsia="仿宋_GB2312" w:cs="仿宋_GB2312"/>
          <w:color w:val="000000"/>
          <w:kern w:val="0"/>
          <w:sz w:val="32"/>
          <w:szCs w:val="32"/>
        </w:rPr>
        <w:t>国库。</w:t>
      </w:r>
      <w:r>
        <w:rPr>
          <w:rFonts w:hint="eastAsia" w:ascii="仿宋_GB2312" w:eastAsia="仿宋_GB2312" w:cs="仿宋_GB2312"/>
          <w:kern w:val="32"/>
          <w:sz w:val="32"/>
          <w:szCs w:val="32"/>
          <w:lang w:val="zh-CN"/>
        </w:rPr>
        <w:t>宣判后，该犯不服，提出上诉。</w:t>
      </w:r>
      <w:r>
        <w:rPr>
          <w:rFonts w:hint="eastAsia" w:ascii="仿宋_GB2312" w:eastAsia="仿宋_GB2312" w:cs="仿宋_GB2312"/>
          <w:color w:val="000000"/>
          <w:kern w:val="0"/>
          <w:sz w:val="32"/>
          <w:szCs w:val="32"/>
        </w:rPr>
        <w:t>福建省高级人民法院于2023年6月20日作出(2023)闽刑终22号</w:t>
      </w:r>
      <w:r>
        <w:rPr>
          <w:rFonts w:hint="eastAsia" w:ascii="仿宋_GB2312" w:eastAsia="仿宋_GB2312" w:cs="仿宋_GB2312"/>
          <w:kern w:val="0"/>
          <w:sz w:val="32"/>
          <w:szCs w:val="32"/>
        </w:rPr>
        <w:t>刑事判决</w:t>
      </w:r>
      <w:r>
        <w:rPr>
          <w:rFonts w:hint="eastAsia" w:ascii="仿宋_GB2312" w:eastAsia="仿宋_GB2312" w:cs="仿宋_GB2312"/>
          <w:color w:val="000000"/>
          <w:kern w:val="0"/>
          <w:sz w:val="32"/>
          <w:szCs w:val="32"/>
        </w:rPr>
        <w:t>，维持福建省龙岩市中级人民法院(2022)闽08刑初14号刑事附带民事判决的第三、四、五项，即对被告人赖炳炎犯罪所用和违法所得的财物的刑事判决；撤销福建省龙岩市中级人民法院(2022)闽08刑初14号刑事附带民事判决的第一项，即对被告人</w:t>
      </w:r>
      <w:r>
        <w:rPr>
          <w:rFonts w:hint="eastAsia" w:ascii="仿宋_GB2312" w:hAnsi="Times New Roman" w:eastAsia="仿宋_GB2312"/>
          <w:kern w:val="32"/>
          <w:sz w:val="32"/>
          <w:szCs w:val="32"/>
        </w:rPr>
        <w:t>赖炳炎犯故意杀人罪，判处死刑</w:t>
      </w:r>
      <w:r>
        <w:rPr>
          <w:rFonts w:hint="eastAsia" w:ascii="仿宋_GB2312" w:eastAsia="仿宋_GB2312" w:cs="仿宋_GB2312"/>
          <w:color w:val="000000"/>
          <w:kern w:val="0"/>
          <w:sz w:val="32"/>
          <w:szCs w:val="32"/>
        </w:rPr>
        <w:t>，剥夺政治权利终身；犯盗窃罪，判处有期徒刑二年，并处罚金人民币10000元；决定执行死刑，剥夺政治权利终身，并处罚金人民币10000元的刑事判决；上诉人</w:t>
      </w:r>
      <w:r>
        <w:rPr>
          <w:rFonts w:hint="eastAsia" w:ascii="仿宋_GB2312" w:hAnsi="Times New Roman" w:eastAsia="仿宋_GB2312"/>
          <w:kern w:val="32"/>
          <w:sz w:val="32"/>
          <w:szCs w:val="32"/>
        </w:rPr>
        <w:t>赖炳炎犯故意杀人罪，判处死刑</w:t>
      </w:r>
      <w:r>
        <w:rPr>
          <w:rFonts w:hint="eastAsia" w:ascii="仿宋_GB2312" w:eastAsia="仿宋_GB2312" w:cs="仿宋_GB2312"/>
          <w:color w:val="000000"/>
          <w:kern w:val="0"/>
          <w:sz w:val="32"/>
          <w:szCs w:val="32"/>
        </w:rPr>
        <w:t>，缓期二年执行，剥夺政治权利终身；犯盗窃罪，判处有期徒刑二年，并处罚金人民币10000元；决定执行死刑，缓期二年执行，剥夺政治权利终身，并处罚金人民币10000元；对上诉人赖炳炎限制减刑。死刑缓期执行期自2023年6月29日起至2025年6月28日止。</w:t>
      </w:r>
      <w:r>
        <w:rPr>
          <w:rFonts w:hint="eastAsia" w:ascii="仿宋_GB2312" w:hAnsi="Times New Roman" w:eastAsia="仿宋_GB2312"/>
          <w:color w:val="000000"/>
          <w:kern w:val="32"/>
          <w:sz w:val="32"/>
          <w:szCs w:val="32"/>
        </w:rPr>
        <w:t>2023年7月26日交付福建省漳州监狱执行刑罚</w:t>
      </w:r>
      <w:r>
        <w:rPr>
          <w:rFonts w:hint="eastAsia" w:ascii="仿宋_GB2312" w:eastAsia="仿宋_GB2312" w:cs="仿宋_GB2312"/>
          <w:color w:val="000000"/>
          <w:kern w:val="0"/>
          <w:sz w:val="32"/>
          <w:szCs w:val="32"/>
        </w:rPr>
        <w:t>。</w:t>
      </w:r>
      <w:r>
        <w:rPr>
          <w:rFonts w:hint="eastAsia" w:ascii="仿宋_GB2312" w:hAnsi="Times New Roman" w:eastAsia="仿宋_GB2312"/>
          <w:kern w:val="32"/>
          <w:sz w:val="32"/>
          <w:szCs w:val="32"/>
        </w:rPr>
        <w:t>属考察级罪犯。</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罪犯赖炳炎在死刑缓期执行期间没有故意犯罪，自入监以来</w:t>
      </w:r>
      <w:r>
        <w:rPr>
          <w:rFonts w:hint="eastAsia" w:ascii="仿宋_GB2312" w:hAnsi="Times New Roman" w:eastAsia="仿宋_GB2312"/>
          <w:kern w:val="32"/>
          <w:sz w:val="32"/>
          <w:szCs w:val="32"/>
          <w:lang w:eastAsia="zh-CN"/>
        </w:rPr>
        <w:t>改造表现</w:t>
      </w:r>
      <w:r>
        <w:rPr>
          <w:rFonts w:hint="eastAsia" w:ascii="仿宋_GB2312" w:hAnsi="Times New Roman" w:eastAsia="仿宋_GB2312"/>
          <w:kern w:val="32"/>
          <w:sz w:val="32"/>
          <w:szCs w:val="32"/>
        </w:rPr>
        <w:t>如下：</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认罪悔罪：由于文化程度低由本人口述，他犯代写认罪悔罪书。</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kern w:val="32"/>
          <w:sz w:val="32"/>
          <w:szCs w:val="32"/>
        </w:rPr>
      </w:pPr>
      <w:r>
        <w:rPr>
          <w:rFonts w:hint="eastAsia" w:ascii="仿宋_GB2312" w:hAnsi="Times New Roman" w:eastAsia="仿宋_GB2312"/>
          <w:kern w:val="32"/>
          <w:sz w:val="32"/>
          <w:szCs w:val="32"/>
        </w:rPr>
        <w:t>遵守监规：</w:t>
      </w:r>
      <w:r>
        <w:rPr>
          <w:rFonts w:hint="eastAsia" w:ascii="仿宋_GB2312" w:eastAsia="仿宋_GB2312" w:cs="仿宋_GB2312"/>
          <w:kern w:val="32"/>
          <w:sz w:val="32"/>
          <w:szCs w:val="32"/>
          <w:lang w:val="zh-CN"/>
        </w:rPr>
        <w:t>该犯考核期内虽有违规，但经民警教育后，能认识到错误，有悔改表现，本次提请前能遵守法律法规及监规纪律，接受教育改造。</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劳动改造：能参加劳动，努力完成劳动任务。</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奖惩情况：该犯考核期2023年7月26日至2025年6月，累计获考核分</w:t>
      </w:r>
      <w:r>
        <w:rPr>
          <w:rFonts w:ascii="仿宋_GB2312" w:hAnsi="Times New Roman" w:eastAsia="仿宋_GB2312"/>
          <w:kern w:val="32"/>
          <w:sz w:val="32"/>
          <w:szCs w:val="32"/>
        </w:rPr>
        <w:t>2139.5</w:t>
      </w:r>
      <w:r>
        <w:rPr>
          <w:rFonts w:hint="eastAsia" w:ascii="仿宋_GB2312" w:hAnsi="Times New Roman" w:eastAsia="仿宋_GB2312"/>
          <w:kern w:val="32"/>
          <w:sz w:val="32"/>
          <w:szCs w:val="32"/>
        </w:rPr>
        <w:t>分，表扬</w:t>
      </w:r>
      <w:r>
        <w:rPr>
          <w:rFonts w:hint="eastAsia" w:ascii="仿宋_GB2312" w:hAnsi="Times New Roman" w:eastAsia="仿宋_GB2312"/>
          <w:kern w:val="32"/>
          <w:sz w:val="32"/>
          <w:szCs w:val="32"/>
          <w:lang w:val="en-US" w:eastAsia="zh-CN"/>
        </w:rPr>
        <w:t>1</w:t>
      </w:r>
      <w:r>
        <w:rPr>
          <w:rFonts w:hint="eastAsia" w:ascii="仿宋_GB2312" w:hAnsi="Times New Roman" w:eastAsia="仿宋_GB2312"/>
          <w:kern w:val="32"/>
          <w:sz w:val="32"/>
          <w:szCs w:val="32"/>
        </w:rPr>
        <w:t>次，物质奖励</w:t>
      </w:r>
      <w:r>
        <w:rPr>
          <w:rFonts w:hint="eastAsia" w:ascii="仿宋_GB2312" w:hAnsi="Times New Roman" w:eastAsia="仿宋_GB2312"/>
          <w:kern w:val="32"/>
          <w:sz w:val="32"/>
          <w:szCs w:val="32"/>
          <w:lang w:val="en-US" w:eastAsia="zh-CN"/>
        </w:rPr>
        <w:t>2</w:t>
      </w:r>
      <w:r>
        <w:rPr>
          <w:rFonts w:hint="eastAsia" w:ascii="仿宋_GB2312" w:hAnsi="Times New Roman" w:eastAsia="仿宋_GB2312"/>
          <w:kern w:val="32"/>
          <w:sz w:val="32"/>
          <w:szCs w:val="32"/>
        </w:rPr>
        <w:t>次。考核期内违规1次，扣考核分3分，无重大违规。</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lang w:eastAsia="zh-CN"/>
        </w:rPr>
        <w:t>该犯</w:t>
      </w:r>
      <w:r>
        <w:rPr>
          <w:rFonts w:hint="eastAsia" w:ascii="仿宋_GB2312" w:hAnsi="Times New Roman" w:eastAsia="仿宋_GB2312"/>
          <w:kern w:val="32"/>
          <w:sz w:val="32"/>
          <w:szCs w:val="32"/>
        </w:rPr>
        <w:t>原判财产性判项</w:t>
      </w:r>
      <w:r>
        <w:rPr>
          <w:rFonts w:hint="eastAsia" w:ascii="仿宋_GB2312" w:hAnsi="Times New Roman" w:eastAsia="仿宋_GB2312"/>
          <w:kern w:val="32"/>
          <w:sz w:val="32"/>
          <w:szCs w:val="32"/>
          <w:lang w:eastAsia="zh-CN"/>
        </w:rPr>
        <w:t>已履行</w:t>
      </w:r>
      <w:r>
        <w:rPr>
          <w:rFonts w:hint="eastAsia" w:ascii="仿宋_GB2312" w:hAnsi="Times New Roman" w:eastAsia="仿宋_GB2312"/>
          <w:kern w:val="32"/>
          <w:sz w:val="32"/>
          <w:szCs w:val="32"/>
          <w:lang w:val="en-US" w:eastAsia="zh-CN"/>
        </w:rPr>
        <w:t>660元，本次提请未履行。</w:t>
      </w:r>
      <w:r>
        <w:rPr>
          <w:rFonts w:hint="eastAsia" w:ascii="仿宋_GB2312" w:hAnsi="Times New Roman" w:eastAsia="仿宋_GB2312"/>
          <w:kern w:val="32"/>
          <w:sz w:val="32"/>
          <w:szCs w:val="32"/>
        </w:rPr>
        <w:t xml:space="preserve">该犯考核期月均消费人民币 38.85元，账户可用余额人民币1246.35元。 </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该犯系因</w:t>
      </w:r>
      <w:r>
        <w:rPr>
          <w:rFonts w:hint="eastAsia" w:ascii="仿宋_GB2312" w:hAnsi="Times New Roman" w:eastAsia="仿宋_GB2312"/>
          <w:kern w:val="32"/>
          <w:sz w:val="32"/>
          <w:szCs w:val="32"/>
          <w:lang w:eastAsia="zh-CN"/>
        </w:rPr>
        <w:t>犯</w:t>
      </w:r>
      <w:r>
        <w:rPr>
          <w:rFonts w:hint="eastAsia" w:ascii="仿宋_GB2312" w:hAnsi="Times New Roman" w:eastAsia="仿宋_GB2312"/>
          <w:kern w:val="32"/>
          <w:sz w:val="32"/>
          <w:szCs w:val="32"/>
        </w:rPr>
        <w:t>故意杀人</w:t>
      </w:r>
      <w:r>
        <w:rPr>
          <w:rFonts w:hint="eastAsia" w:ascii="仿宋_GB2312" w:hAnsi="Times New Roman" w:eastAsia="仿宋_GB2312"/>
          <w:kern w:val="32"/>
          <w:sz w:val="32"/>
          <w:szCs w:val="32"/>
          <w:lang w:eastAsia="zh-CN"/>
        </w:rPr>
        <w:t>罪</w:t>
      </w:r>
      <w:r>
        <w:rPr>
          <w:rFonts w:hint="eastAsia" w:ascii="仿宋_GB2312" w:hAnsi="Times New Roman" w:eastAsia="仿宋_GB2312"/>
          <w:kern w:val="32"/>
          <w:sz w:val="32"/>
          <w:szCs w:val="32"/>
        </w:rPr>
        <w:t>被判处死刑缓期二年执行的罪犯，数罪并罚</w:t>
      </w:r>
      <w:r>
        <w:rPr>
          <w:rFonts w:hint="eastAsia" w:ascii="仿宋_GB2312" w:hAnsi="Times New Roman" w:eastAsia="仿宋_GB2312"/>
          <w:kern w:val="32"/>
          <w:sz w:val="32"/>
          <w:szCs w:val="32"/>
          <w:lang w:eastAsia="zh-CN"/>
        </w:rPr>
        <w:t>被判</w:t>
      </w:r>
      <w:r>
        <w:rPr>
          <w:rFonts w:hint="eastAsia" w:ascii="仿宋_GB2312" w:hAnsi="Times New Roman" w:eastAsia="仿宋_GB2312"/>
          <w:kern w:val="32"/>
          <w:sz w:val="32"/>
          <w:szCs w:val="32"/>
        </w:rPr>
        <w:t>处死刑缓期二年执行的罪犯，</w:t>
      </w:r>
      <w:r>
        <w:rPr>
          <w:rFonts w:hint="eastAsia" w:ascii="仿宋_GB2312" w:hAnsi="Times New Roman" w:eastAsia="仿宋_GB2312"/>
          <w:kern w:val="32"/>
          <w:sz w:val="32"/>
          <w:szCs w:val="32"/>
          <w:lang w:eastAsia="zh-CN"/>
        </w:rPr>
        <w:t>累犯，</w:t>
      </w:r>
      <w:r>
        <w:rPr>
          <w:rFonts w:hint="eastAsia" w:ascii="仿宋_GB2312" w:hAnsi="Times New Roman" w:eastAsia="仿宋_GB2312"/>
          <w:kern w:val="32"/>
          <w:sz w:val="32"/>
          <w:szCs w:val="32"/>
        </w:rPr>
        <w:t>被限制减刑的罪犯，属于从严掌握减刑对象。</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本案于</w:t>
      </w:r>
      <w:r>
        <w:rPr>
          <w:rFonts w:hint="eastAsia" w:ascii="仿宋_GB2312" w:hAnsi="Times New Roman"/>
          <w:kern w:val="32"/>
          <w:sz w:val="32"/>
          <w:szCs w:val="32"/>
          <w:lang w:eastAsia="zh-CN"/>
        </w:rPr>
        <w:t>2025年8月16日至2025年8月22日</w:t>
      </w:r>
      <w:r>
        <w:rPr>
          <w:rFonts w:hint="eastAsia" w:ascii="仿宋_GB2312" w:hAnsi="Times New Roman" w:eastAsia="仿宋_GB2312"/>
          <w:kern w:val="32"/>
          <w:sz w:val="32"/>
          <w:szCs w:val="32"/>
        </w:rPr>
        <w:t>在狱内公示未收到不同意见。</w:t>
      </w:r>
    </w:p>
    <w:p>
      <w:pPr>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因此，依照《中华人民共和国刑法》第五十条、第五十七条</w:t>
      </w:r>
      <w:r>
        <w:rPr>
          <w:rFonts w:hint="eastAsia" w:ascii="仿宋_GB2312" w:hAnsi="Times New Roman" w:eastAsia="仿宋_GB2312"/>
          <w:kern w:val="32"/>
          <w:sz w:val="32"/>
          <w:szCs w:val="32"/>
          <w:lang w:eastAsia="zh-CN"/>
        </w:rPr>
        <w:t>，</w:t>
      </w:r>
      <w:r>
        <w:rPr>
          <w:rFonts w:hint="eastAsia" w:ascii="仿宋_GB2312" w:hAnsi="Times New Roman" w:eastAsia="仿宋_GB2312"/>
          <w:kern w:val="32"/>
          <w:sz w:val="32"/>
          <w:szCs w:val="32"/>
        </w:rPr>
        <w:t xml:space="preserve">《中华人民共和国刑事诉讼法》第二百六十一条和《中华人民共和国监狱法》第三十一条规定，建议对罪犯赖炳炎减为无期徒刑，剥夺政治权利终身不变。特提请你院审理裁定。  </w:t>
      </w:r>
    </w:p>
    <w:p>
      <w:pPr>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此致</w:t>
      </w:r>
    </w:p>
    <w:p>
      <w:pPr>
        <w:keepNext w:val="0"/>
        <w:keepLines w:val="0"/>
        <w:pageBreakBefore w:val="0"/>
        <w:widowControl w:val="0"/>
        <w:kinsoku/>
        <w:wordWrap/>
        <w:overflowPunct/>
        <w:topLinePunct w:val="0"/>
        <w:bidi w:val="0"/>
        <w:snapToGrid/>
        <w:spacing w:line="600" w:lineRule="exact"/>
        <w:ind w:right="-48" w:rightChars="-15"/>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福建省高级人民法院</w:t>
      </w:r>
    </w:p>
    <w:p>
      <w:pPr>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附件：⒈罪犯赖炳炎卷宗</w:t>
      </w:r>
      <w:r>
        <w:rPr>
          <w:rFonts w:hint="eastAsia" w:ascii="仿宋_GB2312" w:hAnsi="Times New Roman" w:eastAsia="仿宋_GB2312" w:cs="仿宋_GB2312"/>
          <w:kern w:val="32"/>
          <w:sz w:val="32"/>
          <w:szCs w:val="32"/>
          <w:lang w:eastAsia="zh-CN"/>
        </w:rPr>
        <w:t>二</w:t>
      </w:r>
      <w:r>
        <w:rPr>
          <w:rFonts w:hint="eastAsia" w:ascii="仿宋_GB2312" w:hAnsi="Times New Roman" w:eastAsia="仿宋_GB2312" w:cs="仿宋_GB2312"/>
          <w:kern w:val="32"/>
          <w:sz w:val="32"/>
          <w:szCs w:val="32"/>
        </w:rPr>
        <w:t>册</w:t>
      </w:r>
    </w:p>
    <w:p>
      <w:pPr>
        <w:keepNext w:val="0"/>
        <w:keepLines w:val="0"/>
        <w:pageBreakBefore w:val="0"/>
        <w:widowControl w:val="0"/>
        <w:kinsoku/>
        <w:wordWrap/>
        <w:overflowPunct/>
        <w:topLinePunct w:val="0"/>
        <w:bidi w:val="0"/>
        <w:snapToGrid/>
        <w:spacing w:line="600" w:lineRule="exact"/>
        <w:ind w:right="-48" w:rightChars="-15" w:firstLine="1600" w:firstLineChars="500"/>
        <w:jc w:val="left"/>
        <w:textAlignment w:val="auto"/>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⒉减刑建议书</w:t>
      </w:r>
      <w:r>
        <w:rPr>
          <w:rFonts w:hint="eastAsia" w:ascii="仿宋_GB2312" w:hAnsi="Times New Roman" w:eastAsia="仿宋_GB2312" w:cs="仿宋_GB2312"/>
          <w:kern w:val="32"/>
          <w:sz w:val="32"/>
          <w:szCs w:val="32"/>
          <w:lang w:eastAsia="zh-CN"/>
        </w:rPr>
        <w:t>五</w:t>
      </w:r>
      <w:r>
        <w:rPr>
          <w:rFonts w:hint="eastAsia" w:ascii="仿宋_GB2312" w:hAnsi="Times New Roman" w:eastAsia="仿宋_GB2312" w:cs="仿宋_GB2312"/>
          <w:kern w:val="32"/>
          <w:sz w:val="32"/>
          <w:szCs w:val="32"/>
        </w:rPr>
        <w:t>份</w:t>
      </w:r>
    </w:p>
    <w:p>
      <w:pPr>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Times New Roman" w:eastAsia="仿宋_GB2312" w:cs="仿宋_GB2312"/>
          <w:kern w:val="32"/>
          <w:sz w:val="32"/>
          <w:szCs w:val="32"/>
        </w:rPr>
      </w:pPr>
    </w:p>
    <w:p>
      <w:pPr>
        <w:keepNext w:val="0"/>
        <w:keepLines w:val="0"/>
        <w:pageBreakBefore w:val="0"/>
        <w:widowControl w:val="0"/>
        <w:kinsoku/>
        <w:wordWrap/>
        <w:overflowPunct/>
        <w:topLinePunct w:val="0"/>
        <w:bidi w:val="0"/>
        <w:snapToGrid/>
        <w:spacing w:line="600" w:lineRule="exact"/>
        <w:ind w:right="1213" w:rightChars="379"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 xml:space="preserve">                          福建省漳州监狱</w:t>
      </w:r>
    </w:p>
    <w:p>
      <w:pPr>
        <w:keepNext w:val="0"/>
        <w:keepLines w:val="0"/>
        <w:pageBreakBefore w:val="0"/>
        <w:widowControl w:val="0"/>
        <w:kinsoku/>
        <w:wordWrap/>
        <w:overflowPunct/>
        <w:topLinePunct w:val="0"/>
        <w:autoSpaceDE/>
        <w:autoSpaceDN/>
        <w:bidi w:val="0"/>
        <w:adjustRightInd/>
        <w:snapToGrid/>
        <w:spacing w:line="600" w:lineRule="exact"/>
        <w:ind w:right="-14" w:rightChars="0" w:firstLine="4800" w:firstLineChars="1500"/>
        <w:jc w:val="left"/>
        <w:textAlignment w:val="auto"/>
        <w:rPr>
          <w:rFonts w:hint="eastAsia" w:eastAsia="楷体_GB2312" w:cs="楷体_GB2312"/>
          <w:szCs w:val="32"/>
        </w:rPr>
      </w:pPr>
      <w:r>
        <w:rPr>
          <w:rFonts w:hint="eastAsia" w:ascii="仿宋_GB2312" w:hAnsi="Times New Roman" w:eastAsia="仿宋_GB2312"/>
          <w:kern w:val="32"/>
          <w:sz w:val="32"/>
          <w:szCs w:val="32"/>
        </w:rPr>
        <w:t>2025年</w:t>
      </w:r>
      <w:r>
        <w:rPr>
          <w:rFonts w:hint="eastAsia" w:ascii="仿宋_GB2312" w:hAnsi="Times New Roman" w:eastAsia="仿宋_GB2312"/>
          <w:kern w:val="32"/>
          <w:sz w:val="32"/>
          <w:szCs w:val="32"/>
          <w:lang w:val="en-US" w:eastAsia="zh-CN"/>
        </w:rPr>
        <w:t>8</w:t>
      </w:r>
      <w:r>
        <w:rPr>
          <w:rFonts w:hint="eastAsia" w:ascii="仿宋_GB2312" w:hAnsi="Times New Roman" w:eastAsia="仿宋_GB2312"/>
          <w:kern w:val="32"/>
          <w:sz w:val="32"/>
          <w:szCs w:val="32"/>
        </w:rPr>
        <w:t>月</w:t>
      </w:r>
      <w:r>
        <w:rPr>
          <w:rFonts w:hint="eastAsia" w:ascii="仿宋_GB2312" w:hAnsi="Times New Roman" w:eastAsia="仿宋_GB2312"/>
          <w:kern w:val="32"/>
          <w:sz w:val="32"/>
          <w:szCs w:val="32"/>
          <w:lang w:val="en-US" w:eastAsia="zh-CN"/>
        </w:rPr>
        <w:t>2</w:t>
      </w:r>
      <w:r>
        <w:rPr>
          <w:rFonts w:hint="eastAsia" w:ascii="仿宋_GB2312" w:hAnsi="Times New Roman"/>
          <w:kern w:val="32"/>
          <w:sz w:val="32"/>
          <w:szCs w:val="32"/>
          <w:lang w:val="en-US" w:eastAsia="zh-CN"/>
        </w:rPr>
        <w:t>8</w:t>
      </w:r>
      <w:r>
        <w:rPr>
          <w:rFonts w:hint="eastAsia" w:ascii="仿宋_GB2312" w:hAnsi="Times New Roman" w:eastAsia="仿宋_GB2312"/>
          <w:kern w:val="32"/>
          <w:sz w:val="32"/>
          <w:szCs w:val="32"/>
        </w:rPr>
        <w:t>日</w:t>
      </w:r>
    </w:p>
    <w:p>
      <w:pPr>
        <w:keepNext w:val="0"/>
        <w:keepLines w:val="0"/>
        <w:pageBreakBefore w:val="0"/>
        <w:widowControl w:val="0"/>
        <w:kinsoku/>
        <w:wordWrap/>
        <w:overflowPunct/>
        <w:topLinePunct w:val="0"/>
        <w:autoSpaceDE/>
        <w:autoSpaceDN/>
        <w:bidi w:val="0"/>
        <w:adjustRightInd/>
        <w:snapToGrid/>
        <w:spacing w:line="520" w:lineRule="exact"/>
        <w:ind w:right="-14" w:rightChars="0"/>
        <w:jc w:val="left"/>
        <w:textAlignment w:val="auto"/>
        <w:rPr>
          <w:rFonts w:hint="eastAsia" w:eastAsia="楷体_GB2312" w:cs="楷体_GB2312"/>
          <w:szCs w:val="32"/>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right="-14" w:rightChars="0"/>
        <w:jc w:val="left"/>
        <w:textAlignment w:val="auto"/>
        <w:rPr>
          <w:rFonts w:hint="eastAsia" w:eastAsia="楷体_GB2312" w:cs="楷体_GB231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75546F5"/>
    <w:rsid w:val="078C6784"/>
    <w:rsid w:val="08A6129B"/>
    <w:rsid w:val="0B032DBB"/>
    <w:rsid w:val="0B4A3E7F"/>
    <w:rsid w:val="0C6E1544"/>
    <w:rsid w:val="0E572BFA"/>
    <w:rsid w:val="0E9D39B7"/>
    <w:rsid w:val="0EEF0183"/>
    <w:rsid w:val="1219101B"/>
    <w:rsid w:val="12D03822"/>
    <w:rsid w:val="12DB2CF7"/>
    <w:rsid w:val="14575AAF"/>
    <w:rsid w:val="15D93A3C"/>
    <w:rsid w:val="1B7C3D38"/>
    <w:rsid w:val="1C595CF1"/>
    <w:rsid w:val="1D453D13"/>
    <w:rsid w:val="1DF50041"/>
    <w:rsid w:val="1EF20AF7"/>
    <w:rsid w:val="1FE03E2B"/>
    <w:rsid w:val="2027184D"/>
    <w:rsid w:val="2114237A"/>
    <w:rsid w:val="22B155AE"/>
    <w:rsid w:val="23212818"/>
    <w:rsid w:val="2626689D"/>
    <w:rsid w:val="27B22717"/>
    <w:rsid w:val="2A3B64D2"/>
    <w:rsid w:val="2C3550D4"/>
    <w:rsid w:val="2EAF0314"/>
    <w:rsid w:val="310006C2"/>
    <w:rsid w:val="317C2C76"/>
    <w:rsid w:val="31DC6C3C"/>
    <w:rsid w:val="35922F75"/>
    <w:rsid w:val="366E10CC"/>
    <w:rsid w:val="371643C5"/>
    <w:rsid w:val="383430DD"/>
    <w:rsid w:val="39864127"/>
    <w:rsid w:val="39C1344E"/>
    <w:rsid w:val="3A0B4CAB"/>
    <w:rsid w:val="3B02271A"/>
    <w:rsid w:val="3B512E08"/>
    <w:rsid w:val="3C835306"/>
    <w:rsid w:val="3D42560E"/>
    <w:rsid w:val="3D5A65CA"/>
    <w:rsid w:val="3EF041C9"/>
    <w:rsid w:val="3FE17A60"/>
    <w:rsid w:val="40307287"/>
    <w:rsid w:val="40D516CD"/>
    <w:rsid w:val="41E940B3"/>
    <w:rsid w:val="42A47A82"/>
    <w:rsid w:val="44B71804"/>
    <w:rsid w:val="450155C4"/>
    <w:rsid w:val="453271AB"/>
    <w:rsid w:val="459A0768"/>
    <w:rsid w:val="471D6BB8"/>
    <w:rsid w:val="496D5C2E"/>
    <w:rsid w:val="4A024AA2"/>
    <w:rsid w:val="4B745E6C"/>
    <w:rsid w:val="4B897A7D"/>
    <w:rsid w:val="4E1B5A61"/>
    <w:rsid w:val="500C5BAE"/>
    <w:rsid w:val="50FF64A6"/>
    <w:rsid w:val="55676FCD"/>
    <w:rsid w:val="58AB0C8B"/>
    <w:rsid w:val="58FE48D4"/>
    <w:rsid w:val="59C11342"/>
    <w:rsid w:val="5E48496B"/>
    <w:rsid w:val="61D75FB4"/>
    <w:rsid w:val="622C03DE"/>
    <w:rsid w:val="6391562E"/>
    <w:rsid w:val="677C7175"/>
    <w:rsid w:val="68DF072D"/>
    <w:rsid w:val="6A0A5681"/>
    <w:rsid w:val="6A5C5FF0"/>
    <w:rsid w:val="6B812D81"/>
    <w:rsid w:val="6DC60AD6"/>
    <w:rsid w:val="6FFD5DDE"/>
    <w:rsid w:val="70013651"/>
    <w:rsid w:val="70EE0BDA"/>
    <w:rsid w:val="72210150"/>
    <w:rsid w:val="77E34CC3"/>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1</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叶志胜</cp:lastModifiedBy>
  <cp:lastPrinted>2024-09-09T08:16:00Z</cp:lastPrinted>
  <dcterms:modified xsi:type="dcterms:W3CDTF">2025-08-28T09:07:49Z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