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福建省漳州监狱</w:t>
      </w:r>
    </w:p>
    <w:p>
      <w:pPr>
        <w:snapToGrid w:val="0"/>
        <w:spacing w:line="600" w:lineRule="exact"/>
        <w:jc w:val="center"/>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提请减刑建议书</w:t>
      </w:r>
    </w:p>
    <w:p>
      <w:pPr>
        <w:wordWrap w:val="0"/>
        <w:jc w:val="right"/>
        <w:rPr>
          <w:rFonts w:ascii="楷体_GB2312" w:hAnsi="华文仿宋" w:eastAsia="楷体_GB2312" w:cs="楷体_GB2312"/>
          <w:szCs w:val="32"/>
        </w:rPr>
      </w:pPr>
      <w:r>
        <w:rPr>
          <w:rFonts w:hint="eastAsia" w:ascii="楷体_GB2312" w:hAnsi="华文仿宋" w:eastAsia="楷体_GB2312" w:cs="楷体_GB2312"/>
          <w:szCs w:val="32"/>
        </w:rPr>
        <w:t>〔202</w:t>
      </w:r>
      <w:r>
        <w:rPr>
          <w:rFonts w:hint="eastAsia" w:ascii="楷体_GB2312" w:hAnsi="华文仿宋" w:eastAsia="楷体_GB2312" w:cs="楷体_GB2312"/>
          <w:szCs w:val="32"/>
          <w:lang w:val="en-US" w:eastAsia="zh-CN"/>
        </w:rPr>
        <w:t>5</w:t>
      </w:r>
      <w:r>
        <w:rPr>
          <w:rFonts w:hint="eastAsia" w:ascii="楷体_GB2312" w:hAnsi="华文仿宋" w:eastAsia="楷体_GB2312" w:cs="楷体_GB2312"/>
          <w:szCs w:val="32"/>
        </w:rPr>
        <w:t>〕闽漳狱减字第</w:t>
      </w:r>
      <w:r>
        <w:rPr>
          <w:rFonts w:hint="eastAsia" w:ascii="楷体_GB2312" w:hAnsi="华文仿宋" w:eastAsia="楷体_GB2312" w:cs="楷体_GB2312"/>
          <w:szCs w:val="32"/>
          <w:lang w:val="en-US" w:eastAsia="zh-CN"/>
        </w:rPr>
        <w:t>4034</w:t>
      </w:r>
      <w:r>
        <w:rPr>
          <w:rFonts w:hint="eastAsia" w:ascii="楷体_GB2312" w:hAnsi="华文仿宋" w:eastAsia="楷体_GB2312" w:cs="楷体_GB2312"/>
          <w:szCs w:val="32"/>
        </w:rPr>
        <w:t>号</w:t>
      </w:r>
    </w:p>
    <w:p>
      <w:pPr>
        <w:keepNext w:val="0"/>
        <w:keepLines w:val="0"/>
        <w:pageBreakBefore w:val="0"/>
        <w:widowControl w:val="0"/>
        <w:kinsoku/>
        <w:wordWrap/>
        <w:overflowPunct/>
        <w:topLinePunct w:val="0"/>
        <w:bidi w:val="0"/>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罪犯黄喜明</w:t>
      </w: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AUTOTEXTLIST  \* MERGEFORMAT </w:instrText>
      </w:r>
      <w:r>
        <w:rPr>
          <w:rFonts w:hint="eastAsia" w:ascii="仿宋_GB2312" w:hAnsi="仿宋_GB2312" w:eastAsia="仿宋_GB2312" w:cs="仿宋_GB2312"/>
          <w:szCs w:val="32"/>
        </w:rPr>
        <w:fldChar w:fldCharType="end"/>
      </w:r>
      <w:r>
        <w:rPr>
          <w:rFonts w:hint="eastAsia" w:ascii="仿宋_GB2312" w:hAnsi="仿宋_GB2312" w:eastAsia="仿宋_GB2312" w:cs="仿宋_GB2312"/>
          <w:szCs w:val="32"/>
        </w:rPr>
        <w:t>，男，1972年4月6日出生，汉族，初中文化，住江西省分宜县</w:t>
      </w:r>
      <w:bookmarkStart w:id="0" w:name="_GoBack"/>
      <w:bookmarkEnd w:id="0"/>
      <w:r>
        <w:rPr>
          <w:rFonts w:hint="eastAsia" w:ascii="仿宋_GB2312" w:hAnsi="仿宋_GB2312" w:eastAsia="仿宋_GB2312" w:cs="仿宋_GB2312"/>
          <w:szCs w:val="32"/>
        </w:rPr>
        <w:t>,捕前系务工。</w:t>
      </w:r>
    </w:p>
    <w:p>
      <w:pPr>
        <w:keepNext w:val="0"/>
        <w:keepLines w:val="0"/>
        <w:pageBreakBefore w:val="0"/>
        <w:widowControl w:val="0"/>
        <w:kinsoku/>
        <w:wordWrap/>
        <w:overflowPunct/>
        <w:topLinePunct w:val="0"/>
        <w:bidi w:val="0"/>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福建省泉州市中级人民法院于2017年12月25日作出(2017)闽05刑初117号刑事附带民事判决，以被告人黄喜明犯故意杀人罪，判处死刑，缓期二年执行，剥夺政治权利终身，赔偿</w:t>
      </w:r>
      <w:r>
        <w:rPr>
          <w:rFonts w:hint="eastAsia" w:ascii="仿宋_GB2312" w:hAnsi="仿宋_GB2312" w:eastAsia="仿宋_GB2312" w:cs="仿宋_GB2312"/>
          <w:szCs w:val="32"/>
          <w:lang w:eastAsia="zh-CN"/>
        </w:rPr>
        <w:t>附带民事诉讼原告人经济损失</w:t>
      </w:r>
      <w:r>
        <w:rPr>
          <w:rFonts w:hint="eastAsia" w:ascii="仿宋_GB2312" w:hAnsi="仿宋_GB2312" w:eastAsia="仿宋_GB2312" w:cs="仿宋_GB2312"/>
          <w:szCs w:val="32"/>
        </w:rPr>
        <w:t>人民币763577.61元。宣判后，</w:t>
      </w:r>
      <w:r>
        <w:rPr>
          <w:rFonts w:hint="eastAsia" w:ascii="仿宋_GB2312" w:hAnsi="仿宋_GB2312" w:eastAsia="仿宋_GB2312" w:cs="仿宋_GB2312"/>
          <w:szCs w:val="32"/>
          <w:lang w:eastAsia="zh-CN"/>
        </w:rPr>
        <w:t>原审附带民事诉讼</w:t>
      </w:r>
      <w:r>
        <w:rPr>
          <w:rFonts w:hint="eastAsia" w:ascii="仿宋_GB2312" w:hAnsi="仿宋_GB2312" w:eastAsia="仿宋_GB2312" w:cs="仿宋_GB2312"/>
          <w:szCs w:val="32"/>
        </w:rPr>
        <w:t>原告人不服，提出上诉。福建省高级人民法院于2018年3月27日作出(2018)闽刑终130号刑事附带民事裁定，驳回上诉，维持原判。福建省高级人民法院于2018年3月27日作出(2018)闽刑核53230287号刑事裁定，核准泉州市中级人民法院(2017)闽05刑初117号</w:t>
      </w:r>
      <w:r>
        <w:rPr>
          <w:rFonts w:hint="eastAsia" w:ascii="仿宋_GB2312" w:hAnsi="仿宋_GB2312" w:eastAsia="仿宋_GB2312" w:cs="仿宋_GB2312"/>
          <w:szCs w:val="32"/>
          <w:lang w:eastAsia="zh-CN"/>
        </w:rPr>
        <w:t>以故意杀人罪，判处被告人黄喜明死刑，缓期二年执行，剥夺政治权利终身</w:t>
      </w:r>
      <w:r>
        <w:rPr>
          <w:rFonts w:hint="eastAsia" w:ascii="仿宋_GB2312" w:hAnsi="仿宋_GB2312" w:eastAsia="仿宋_GB2312" w:cs="仿宋_GB2312"/>
          <w:szCs w:val="32"/>
        </w:rPr>
        <w:t>的刑事判决。死刑缓期执行期自2018年4月24日起至2020年4月23日止。2018年5月25日交付福建省漳州监狱执行刑罚。2020年10月22日，福建省高级人民法院以(2020)闽刑更325号刑事裁定书，对其减为无期徒刑，剥夺政治权利终身不变，2020年11月7日送达。属</w:t>
      </w:r>
      <w:r>
        <w:rPr>
          <w:rFonts w:hint="eastAsia" w:ascii="仿宋_GB2312" w:hAnsi="仿宋_GB2312" w:eastAsia="仿宋_GB2312" w:cs="仿宋_GB2312"/>
          <w:color w:val="000000"/>
          <w:szCs w:val="32"/>
        </w:rPr>
        <w:t>普管级</w:t>
      </w:r>
      <w:r>
        <w:rPr>
          <w:rFonts w:hint="eastAsia" w:ascii="仿宋_GB2312" w:hAnsi="仿宋_GB2312" w:eastAsia="仿宋_GB2312" w:cs="仿宋_GB2312"/>
          <w:szCs w:val="32"/>
        </w:rPr>
        <w:t>罪犯。</w:t>
      </w:r>
    </w:p>
    <w:p>
      <w:pPr>
        <w:keepNext w:val="0"/>
        <w:keepLines w:val="0"/>
        <w:pageBreakBefore w:val="0"/>
        <w:widowControl w:val="0"/>
        <w:kinsoku/>
        <w:wordWrap/>
        <w:overflowPunct/>
        <w:topLinePunct w:val="0"/>
        <w:bidi w:val="0"/>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lang w:eastAsia="zh-CN"/>
        </w:rPr>
        <w:t>罪犯黄喜明在死缓期间没有故意犯罪，无期期间确有悔改表现，自入监以来表现如下</w:t>
      </w:r>
      <w:r>
        <w:rPr>
          <w:rFonts w:hint="eastAsia" w:ascii="仿宋_GB2312" w:hAnsi="仿宋_GB2312" w:eastAsia="仿宋_GB2312" w:cs="仿宋_GB2312"/>
          <w:szCs w:val="32"/>
        </w:rPr>
        <w:t xml:space="preserve">： </w:t>
      </w:r>
    </w:p>
    <w:p>
      <w:pPr>
        <w:pStyle w:val="9"/>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hAnsi="仿宋_GB2312" w:eastAsia="仿宋_GB2312" w:cs="仿宋_GB2312"/>
          <w:iCs/>
          <w:kern w:val="2"/>
          <w:szCs w:val="32"/>
        </w:rPr>
      </w:pPr>
      <w:r>
        <w:rPr>
          <w:rFonts w:hint="eastAsia" w:ascii="仿宋_GB2312" w:hAnsi="仿宋_GB2312" w:eastAsia="仿宋_GB2312" w:cs="仿宋_GB2312"/>
          <w:iCs/>
          <w:kern w:val="2"/>
          <w:szCs w:val="32"/>
        </w:rPr>
        <w:t>认罪悔罪：能服从法院判决，自书认罪悔罪书。</w:t>
      </w:r>
    </w:p>
    <w:p>
      <w:pPr>
        <w:pStyle w:val="9"/>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rPr>
        <w:t>遵守监规</w:t>
      </w:r>
      <w:r>
        <w:rPr>
          <w:rFonts w:hint="eastAsia" w:ascii="仿宋_GB2312" w:hAnsi="仿宋_GB2312" w:eastAsia="仿宋_GB2312" w:cs="仿宋_GB2312"/>
          <w:szCs w:val="32"/>
          <w:lang w:val="zh-CN"/>
        </w:rPr>
        <w:t>：</w:t>
      </w:r>
      <w:r>
        <w:rPr>
          <w:rFonts w:hint="eastAsia" w:ascii="仿宋_GB2312" w:hAnsi="仿宋_GB2312" w:eastAsia="仿宋_GB2312" w:cs="仿宋_GB2312"/>
          <w:szCs w:val="32"/>
        </w:rPr>
        <w:t>该犯考核期内虽有违规，但经民警教育后，能认识到错误，有悔改表现，本次提请前能遵守法律法规监规纪律，接受教育改造。</w:t>
      </w:r>
    </w:p>
    <w:p>
      <w:pPr>
        <w:pStyle w:val="9"/>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学习情况：能参加</w:t>
      </w:r>
      <w:r>
        <w:rPr>
          <w:rFonts w:hint="eastAsia" w:ascii="仿宋_GB2312" w:hAnsi="仿宋_GB2312" w:eastAsia="仿宋_GB2312" w:cs="仿宋_GB2312"/>
          <w:szCs w:val="32"/>
        </w:rPr>
        <w:t>思想、文化、职业技术教育</w:t>
      </w:r>
      <w:r>
        <w:rPr>
          <w:rFonts w:hint="eastAsia" w:ascii="仿宋_GB2312" w:hAnsi="仿宋_GB2312" w:eastAsia="仿宋_GB2312" w:cs="仿宋_GB2312"/>
          <w:szCs w:val="32"/>
          <w:lang w:val="zh-CN"/>
        </w:rPr>
        <w:t>。</w:t>
      </w:r>
    </w:p>
    <w:p>
      <w:pPr>
        <w:pStyle w:val="9"/>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劳动改造：能参加劳动，努力完成</w:t>
      </w:r>
      <w:r>
        <w:rPr>
          <w:rFonts w:hint="eastAsia" w:ascii="仿宋_GB2312" w:hAnsi="仿宋_GB2312" w:eastAsia="仿宋_GB2312" w:cs="仿宋_GB2312"/>
          <w:szCs w:val="32"/>
        </w:rPr>
        <w:t>劳动</w:t>
      </w:r>
      <w:r>
        <w:rPr>
          <w:rFonts w:hint="eastAsia" w:ascii="仿宋_GB2312" w:hAnsi="仿宋_GB2312" w:eastAsia="仿宋_GB2312" w:cs="仿宋_GB2312"/>
          <w:szCs w:val="32"/>
          <w:lang w:val="zh-CN"/>
        </w:rPr>
        <w:t>任务。</w:t>
      </w:r>
    </w:p>
    <w:p>
      <w:pPr>
        <w:pStyle w:val="9"/>
        <w:keepNext w:val="0"/>
        <w:keepLines w:val="0"/>
        <w:pageBreakBefore w:val="0"/>
        <w:widowControl w:val="0"/>
        <w:kinsoku/>
        <w:wordWrap/>
        <w:overflowPunct/>
        <w:topLinePunct w:val="0"/>
        <w:bidi w:val="0"/>
        <w:spacing w:line="600" w:lineRule="exact"/>
        <w:ind w:firstLine="640" w:firstLineChars="200"/>
        <w:jc w:val="left"/>
        <w:textAlignment w:val="auto"/>
        <w:rPr>
          <w:rFonts w:hint="eastAsia" w:ascii="仿宋_GB2312" w:hAnsi="仿宋_GB2312" w:eastAsia="仿宋_GB2312" w:cs="仿宋_GB2312"/>
          <w:bCs/>
          <w:szCs w:val="32"/>
        </w:rPr>
      </w:pPr>
      <w:r>
        <w:rPr>
          <w:rFonts w:hint="eastAsia" w:ascii="仿宋_GB2312" w:hAnsi="仿宋_GB2312" w:eastAsia="仿宋_GB2312" w:cs="仿宋_GB2312"/>
          <w:lang w:val="zh-CN"/>
        </w:rPr>
        <w:t>奖惩情况：</w:t>
      </w:r>
      <w:r>
        <w:rPr>
          <w:rFonts w:hint="eastAsia" w:ascii="仿宋_GB2312" w:hAnsi="仿宋_GB2312" w:eastAsia="仿宋_GB2312" w:cs="仿宋_GB2312"/>
          <w:bCs/>
          <w:szCs w:val="32"/>
        </w:rPr>
        <w:t>该犯2018年5月25日至2020年4月累计获考核分2010.5分，2020年5月至2025年5月累计获考核分6527分，合计获得考核分8537.5分，表扬11次，物质奖励3次；2018年5月25日至2020年4月无违规扣分，2020年5月至2025年5月违规2次，累计扣考核分12分，</w:t>
      </w:r>
      <w:r>
        <w:rPr>
          <w:rFonts w:hint="eastAsia" w:ascii="仿宋_GB2312" w:hAnsi="仿宋_GB2312" w:eastAsia="仿宋_GB2312" w:cs="仿宋_GB2312"/>
          <w:bCs/>
          <w:szCs w:val="32"/>
          <w:lang w:eastAsia="zh-CN"/>
        </w:rPr>
        <w:t>无</w:t>
      </w:r>
      <w:r>
        <w:rPr>
          <w:rFonts w:hint="eastAsia" w:ascii="仿宋_GB2312" w:hAnsi="仿宋_GB2312" w:eastAsia="仿宋_GB2312" w:cs="仿宋_GB2312"/>
          <w:bCs/>
          <w:szCs w:val="32"/>
        </w:rPr>
        <w:t>重大违规。</w:t>
      </w:r>
    </w:p>
    <w:p>
      <w:pPr>
        <w:keepNext w:val="0"/>
        <w:keepLines w:val="0"/>
        <w:pageBreakBefore w:val="0"/>
        <w:widowControl w:val="0"/>
        <w:kinsoku/>
        <w:wordWrap/>
        <w:overflowPunct/>
        <w:topLinePunct w:val="0"/>
        <w:bidi w:val="0"/>
        <w:spacing w:line="600" w:lineRule="exact"/>
        <w:ind w:firstLine="640" w:firstLineChars="200"/>
        <w:jc w:val="left"/>
        <w:textAlignment w:val="auto"/>
        <w:rPr>
          <w:rFonts w:hint="eastAsia" w:ascii="仿宋_GB2312" w:hAnsi="仿宋_GB2312" w:eastAsia="仿宋_GB2312" w:cs="仿宋_GB2312"/>
          <w:bCs/>
          <w:szCs w:val="32"/>
        </w:rPr>
      </w:pPr>
      <w:r>
        <w:rPr>
          <w:rFonts w:hint="eastAsia" w:ascii="仿宋_GB2312" w:hAnsi="仿宋_GB2312" w:eastAsia="仿宋_GB2312" w:cs="仿宋_GB2312"/>
          <w:bCs/>
          <w:szCs w:val="32"/>
          <w:lang w:eastAsia="zh-CN"/>
        </w:rPr>
        <w:t>该犯</w:t>
      </w:r>
      <w:r>
        <w:rPr>
          <w:rFonts w:hint="eastAsia" w:ascii="仿宋_GB2312" w:hAnsi="仿宋_GB2312" w:eastAsia="仿宋_GB2312" w:cs="仿宋_GB2312"/>
          <w:bCs/>
          <w:szCs w:val="32"/>
        </w:rPr>
        <w:t>原判财产性判项已履行人民币225758.64元；其中本次提请向福建省漳州市中级人民法院缴纳附带民事赔偿人民币2300元。该犯考核期月均消费人民币224.80元，账户可用余额人民币216.46元。2024年12月9日福建省泉州市中级人民法院财产性判项复函载明：</w:t>
      </w:r>
      <w:r>
        <w:rPr>
          <w:rFonts w:hint="eastAsia" w:ascii="仿宋_GB2312" w:hAnsi="仿宋_GB2312" w:eastAsia="仿宋_GB2312" w:cs="仿宋_GB2312"/>
          <w:bCs/>
          <w:szCs w:val="32"/>
          <w:lang w:eastAsia="zh-CN"/>
        </w:rPr>
        <w:t>目前暂未发现执行阶段存在隐瞒、藏匿、转移财产情形；目前暂未发现执行阶段存在妨害财产性判项执行情形；目前暂未发现执行阶段存在拒不交代赃款、赃物去向情形；经福建法院执行案件流程信息管理系统查控</w:t>
      </w:r>
      <w:r>
        <w:rPr>
          <w:rFonts w:hint="eastAsia" w:ascii="仿宋_GB2312" w:hAnsi="仿宋_GB2312" w:eastAsia="仿宋_GB2312" w:cs="仿宋_GB2312"/>
          <w:bCs/>
          <w:szCs w:val="32"/>
        </w:rPr>
        <w:t>无可供执行财产。</w:t>
      </w:r>
    </w:p>
    <w:p>
      <w:pPr>
        <w:keepNext w:val="0"/>
        <w:keepLines w:val="0"/>
        <w:pageBreakBefore w:val="0"/>
        <w:widowControl w:val="0"/>
        <w:kinsoku/>
        <w:wordWrap/>
        <w:overflowPunct/>
        <w:topLinePunct w:val="0"/>
        <w:bidi w:val="0"/>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该犯系因故意杀人被判处死刑，缓期二年执行的罪犯，属从严掌握减刑对象。</w:t>
      </w:r>
    </w:p>
    <w:p>
      <w:pPr>
        <w:keepNext w:val="0"/>
        <w:keepLines w:val="0"/>
        <w:pageBreakBefore w:val="0"/>
        <w:widowControl w:val="0"/>
        <w:kinsoku/>
        <w:wordWrap/>
        <w:overflowPunct/>
        <w:topLinePunct w:val="0"/>
        <w:bidi w:val="0"/>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本案于</w:t>
      </w:r>
      <w:r>
        <w:rPr>
          <w:rFonts w:hint="eastAsia" w:ascii="仿宋_GB2312" w:hAnsi="仿宋_GB2312" w:cs="仿宋_GB2312"/>
          <w:szCs w:val="32"/>
          <w:lang w:eastAsia="zh-CN"/>
        </w:rPr>
        <w:t>2025年8月16日至2025年8月22日</w:t>
      </w:r>
      <w:r>
        <w:rPr>
          <w:rFonts w:hint="eastAsia" w:ascii="仿宋_GB2312" w:hAnsi="仿宋_GB2312" w:eastAsia="仿宋_GB2312" w:cs="仿宋_GB2312"/>
          <w:szCs w:val="32"/>
        </w:rPr>
        <w:t>在狱内公示未收到不同意见。</w:t>
      </w:r>
    </w:p>
    <w:p>
      <w:pPr>
        <w:pStyle w:val="2"/>
        <w:keepNext w:val="0"/>
        <w:keepLines w:val="0"/>
        <w:pageBreakBefore w:val="0"/>
        <w:widowControl w:val="0"/>
        <w:kinsoku/>
        <w:wordWrap/>
        <w:overflowPunct/>
        <w:topLinePunct w:val="0"/>
        <w:bidi w:val="0"/>
        <w:spacing w:line="600" w:lineRule="exact"/>
        <w:ind w:right="-48" w:rightChars="-15" w:firstLine="640" w:firstLineChars="200"/>
        <w:jc w:val="left"/>
        <w:textAlignment w:val="auto"/>
        <w:rPr>
          <w:rFonts w:hint="eastAsia" w:ascii="仿宋_GB2312" w:hAnsi="仿宋_GB2312" w:eastAsia="仿宋_GB2312" w:cs="仿宋_GB2312"/>
          <w:szCs w:val="32"/>
          <w:lang w:val="en-US"/>
        </w:rPr>
      </w:pPr>
      <w:r>
        <w:rPr>
          <w:rFonts w:hint="eastAsia" w:ascii="仿宋_GB2312" w:hAnsi="仿宋_GB2312" w:eastAsia="仿宋_GB2312" w:cs="仿宋_GB2312"/>
          <w:szCs w:val="32"/>
          <w:lang w:val="en-US"/>
        </w:rPr>
        <w:t>因此，依照《中华人民共和国刑法》第五十七条、第七十八条</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val="en-US"/>
        </w:rPr>
        <w:t>《中华人民共和国刑事诉讼法》第二百七十三条第二款和《中华人民共和国监狱法》第二十九条规定，建议对罪犯</w:t>
      </w:r>
      <w:r>
        <w:rPr>
          <w:rFonts w:hint="eastAsia" w:ascii="仿宋_GB2312" w:hAnsi="仿宋_GB2312" w:eastAsia="仿宋_GB2312" w:cs="仿宋_GB2312"/>
          <w:szCs w:val="32"/>
          <w:lang w:val="en-US" w:eastAsia="zh-CN"/>
        </w:rPr>
        <w:t>黄喜明</w:t>
      </w:r>
      <w:r>
        <w:rPr>
          <w:rFonts w:hint="eastAsia" w:ascii="仿宋_GB2312" w:hAnsi="仿宋_GB2312" w:eastAsia="仿宋_GB2312" w:cs="仿宋_GB2312"/>
          <w:szCs w:val="32"/>
          <w:lang w:val="en-US"/>
        </w:rPr>
        <w:t>减为有期徒刑二十五年，剥夺政治权利改为十年。特提请你院审理裁定。</w:t>
      </w:r>
    </w:p>
    <w:p>
      <w:pPr>
        <w:pStyle w:val="2"/>
        <w:keepNext w:val="0"/>
        <w:keepLines w:val="0"/>
        <w:pageBreakBefore w:val="0"/>
        <w:widowControl w:val="0"/>
        <w:kinsoku/>
        <w:wordWrap/>
        <w:overflowPunct/>
        <w:topLinePunct w:val="0"/>
        <w:bidi w:val="0"/>
        <w:spacing w:line="600" w:lineRule="exact"/>
        <w:ind w:right="-48" w:rightChars="-15"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此致</w:t>
      </w:r>
    </w:p>
    <w:p>
      <w:pPr>
        <w:pStyle w:val="9"/>
        <w:keepNext w:val="0"/>
        <w:keepLines w:val="0"/>
        <w:pageBreakBefore w:val="0"/>
        <w:widowControl w:val="0"/>
        <w:kinsoku/>
        <w:wordWrap/>
        <w:overflowPunct/>
        <w:topLinePunct w:val="0"/>
        <w:bidi w:val="0"/>
        <w:spacing w:line="600" w:lineRule="exact"/>
        <w:ind w:left="0" w:leftChars="0" w:right="-48" w:rightChars="-15" w:firstLine="0" w:firstLineChars="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福建省高级人民法院</w:t>
      </w:r>
    </w:p>
    <w:p>
      <w:pPr>
        <w:pStyle w:val="9"/>
        <w:keepNext w:val="0"/>
        <w:keepLines w:val="0"/>
        <w:pageBreakBefore w:val="0"/>
        <w:widowControl w:val="0"/>
        <w:kinsoku/>
        <w:wordWrap/>
        <w:overflowPunct/>
        <w:topLinePunct w:val="0"/>
        <w:bidi w:val="0"/>
        <w:spacing w:line="600" w:lineRule="exact"/>
        <w:ind w:left="640" w:firstLine="640" w:firstLineChars="200"/>
        <w:jc w:val="left"/>
        <w:textAlignment w:val="auto"/>
        <w:rPr>
          <w:rFonts w:hint="eastAsia" w:ascii="仿宋_GB2312" w:hAnsi="仿宋_GB2312" w:eastAsia="仿宋_GB2312" w:cs="仿宋_GB2312"/>
          <w:szCs w:val="32"/>
        </w:rPr>
      </w:pPr>
    </w:p>
    <w:p>
      <w:pPr>
        <w:pStyle w:val="9"/>
        <w:keepNext w:val="0"/>
        <w:keepLines w:val="0"/>
        <w:pageBreakBefore w:val="0"/>
        <w:widowControl w:val="0"/>
        <w:kinsoku/>
        <w:wordWrap/>
        <w:overflowPunct/>
        <w:topLinePunct w:val="0"/>
        <w:bidi w:val="0"/>
        <w:spacing w:line="600" w:lineRule="exact"/>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附件：⒈罪犯黄喜明卷宗</w:t>
      </w:r>
      <w:r>
        <w:rPr>
          <w:rFonts w:hint="eastAsia" w:ascii="仿宋_GB2312" w:hAnsi="仿宋_GB2312" w:eastAsia="仿宋_GB2312" w:cs="仿宋_GB2312"/>
          <w:szCs w:val="32"/>
          <w:lang w:eastAsia="zh-CN"/>
        </w:rPr>
        <w:t>二</w:t>
      </w:r>
      <w:r>
        <w:rPr>
          <w:rFonts w:hint="eastAsia" w:ascii="仿宋_GB2312" w:hAnsi="仿宋_GB2312" w:eastAsia="仿宋_GB2312" w:cs="仿宋_GB2312"/>
          <w:szCs w:val="32"/>
        </w:rPr>
        <w:t>册</w:t>
      </w:r>
    </w:p>
    <w:p>
      <w:pPr>
        <w:pStyle w:val="9"/>
        <w:keepNext w:val="0"/>
        <w:keepLines w:val="0"/>
        <w:pageBreakBefore w:val="0"/>
        <w:widowControl w:val="0"/>
        <w:kinsoku/>
        <w:wordWrap/>
        <w:overflowPunct/>
        <w:topLinePunct w:val="0"/>
        <w:bidi w:val="0"/>
        <w:spacing w:line="600" w:lineRule="exact"/>
        <w:ind w:left="640" w:right="-48" w:rightChars="-15" w:firstLine="960" w:firstLineChars="3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⒉减刑建议书</w:t>
      </w:r>
      <w:r>
        <w:rPr>
          <w:rFonts w:hint="eastAsia" w:ascii="仿宋_GB2312" w:hAnsi="仿宋_GB2312" w:eastAsia="仿宋_GB2312" w:cs="仿宋_GB2312"/>
          <w:szCs w:val="32"/>
          <w:lang w:eastAsia="zh-CN"/>
        </w:rPr>
        <w:t>五</w:t>
      </w:r>
      <w:r>
        <w:rPr>
          <w:rFonts w:hint="eastAsia" w:ascii="仿宋_GB2312" w:hAnsi="仿宋_GB2312" w:eastAsia="仿宋_GB2312" w:cs="仿宋_GB2312"/>
          <w:szCs w:val="32"/>
        </w:rPr>
        <w:t>份</w:t>
      </w:r>
    </w:p>
    <w:p>
      <w:pPr>
        <w:pStyle w:val="9"/>
        <w:keepNext w:val="0"/>
        <w:keepLines w:val="0"/>
        <w:pageBreakBefore w:val="0"/>
        <w:widowControl w:val="0"/>
        <w:kinsoku/>
        <w:wordWrap/>
        <w:overflowPunct/>
        <w:topLinePunct w:val="0"/>
        <w:bidi w:val="0"/>
        <w:spacing w:line="600" w:lineRule="exact"/>
        <w:ind w:left="640" w:right="-48" w:rightChars="-15" w:firstLine="960" w:firstLineChars="300"/>
        <w:jc w:val="left"/>
        <w:textAlignment w:val="auto"/>
        <w:rPr>
          <w:rFonts w:hint="eastAsia" w:ascii="仿宋_GB2312" w:hAnsi="仿宋_GB2312" w:eastAsia="仿宋_GB2312" w:cs="仿宋_GB2312"/>
          <w:szCs w:val="32"/>
        </w:rPr>
      </w:pPr>
    </w:p>
    <w:p>
      <w:pPr>
        <w:pStyle w:val="2"/>
        <w:keepNext w:val="0"/>
        <w:keepLines w:val="0"/>
        <w:pageBreakBefore w:val="0"/>
        <w:widowControl w:val="0"/>
        <w:kinsoku/>
        <w:wordWrap/>
        <w:overflowPunct/>
        <w:topLinePunct w:val="0"/>
        <w:bidi w:val="0"/>
        <w:spacing w:line="600" w:lineRule="exact"/>
        <w:ind w:left="640" w:right="-48" w:rightChars="-15" w:firstLine="640" w:firstLineChars="200"/>
        <w:jc w:val="left"/>
        <w:textAlignment w:val="auto"/>
        <w:rPr>
          <w:rFonts w:hint="eastAsia" w:ascii="仿宋_GB2312" w:hAnsi="仿宋_GB2312" w:eastAsia="仿宋_GB2312" w:cs="仿宋_GB2312"/>
          <w:szCs w:val="32"/>
        </w:rPr>
      </w:pPr>
    </w:p>
    <w:p>
      <w:pPr>
        <w:pStyle w:val="2"/>
        <w:keepNext w:val="0"/>
        <w:keepLines w:val="0"/>
        <w:pageBreakBefore w:val="0"/>
        <w:widowControl w:val="0"/>
        <w:kinsoku/>
        <w:wordWrap/>
        <w:overflowPunct/>
        <w:topLinePunct w:val="0"/>
        <w:bidi w:val="0"/>
        <w:spacing w:line="600" w:lineRule="exact"/>
        <w:ind w:right="-14" w:rightChars="0" w:firstLine="5440" w:firstLineChars="17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eastAsia="zh-CN"/>
        </w:rPr>
        <w:t>漳州</w:t>
      </w:r>
      <w:r>
        <w:rPr>
          <w:rFonts w:hint="eastAsia" w:ascii="仿宋_GB2312" w:hAnsi="仿宋_GB2312" w:eastAsia="仿宋_GB2312" w:cs="仿宋_GB2312"/>
          <w:szCs w:val="32"/>
        </w:rPr>
        <w:t>监狱</w:t>
      </w:r>
    </w:p>
    <w:p>
      <w:pPr>
        <w:keepNext w:val="0"/>
        <w:keepLines w:val="0"/>
        <w:pageBreakBefore w:val="0"/>
        <w:widowControl w:val="0"/>
        <w:kinsoku/>
        <w:wordWrap/>
        <w:overflowPunct/>
        <w:topLinePunct w:val="0"/>
        <w:bidi w:val="0"/>
        <w:snapToGrid w:val="0"/>
        <w:spacing w:line="600" w:lineRule="exact"/>
        <w:ind w:firstLine="5440" w:firstLineChars="1700"/>
        <w:jc w:val="left"/>
        <w:textAlignment w:val="auto"/>
        <w:rPr>
          <w:rFonts w:hint="eastAsia" w:eastAsia="楷体_GB2312" w:cs="楷体_GB2312"/>
          <w:szCs w:val="32"/>
          <w:lang w:eastAsia="zh-CN"/>
        </w:rPr>
      </w:pPr>
      <w:r>
        <w:rPr>
          <w:rFonts w:hint="eastAsia" w:ascii="仿宋_GB2312" w:hAnsi="仿宋_GB2312" w:eastAsia="仿宋_GB2312" w:cs="仿宋_GB2312"/>
          <w:szCs w:val="32"/>
          <w:lang w:val="en-US" w:eastAsia="zh-CN"/>
        </w:rPr>
        <w:t>2025</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8</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w:t>
      </w:r>
      <w:r>
        <w:rPr>
          <w:rFonts w:hint="eastAsia" w:ascii="仿宋_GB2312" w:hAnsi="仿宋_GB2312" w:cs="仿宋_GB2312"/>
          <w:szCs w:val="32"/>
          <w:lang w:val="en-US" w:eastAsia="zh-CN"/>
        </w:rPr>
        <w:t>8</w:t>
      </w:r>
      <w:r>
        <w:rPr>
          <w:rFonts w:hint="eastAsia" w:ascii="仿宋_GB2312" w:hAnsi="仿宋_GB2312" w:eastAsia="仿宋_GB2312" w:cs="仿宋_GB231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20E04"/>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71278"/>
    <w:rsid w:val="00EB3B84"/>
    <w:rsid w:val="00EE4C5B"/>
    <w:rsid w:val="00FE4A02"/>
    <w:rsid w:val="036A5E04"/>
    <w:rsid w:val="075546F5"/>
    <w:rsid w:val="078C6784"/>
    <w:rsid w:val="08A6129B"/>
    <w:rsid w:val="0B032DBB"/>
    <w:rsid w:val="0B4A3E7F"/>
    <w:rsid w:val="0C6E1544"/>
    <w:rsid w:val="0E572BFA"/>
    <w:rsid w:val="0E9D39B7"/>
    <w:rsid w:val="0EEF0183"/>
    <w:rsid w:val="1219101B"/>
    <w:rsid w:val="12D03822"/>
    <w:rsid w:val="12DB2CF7"/>
    <w:rsid w:val="15D93A3C"/>
    <w:rsid w:val="1B7C3D38"/>
    <w:rsid w:val="1C595CF1"/>
    <w:rsid w:val="1D453D13"/>
    <w:rsid w:val="1EF20AF7"/>
    <w:rsid w:val="1FE03E2B"/>
    <w:rsid w:val="2027184D"/>
    <w:rsid w:val="2114237A"/>
    <w:rsid w:val="22B155AE"/>
    <w:rsid w:val="23212818"/>
    <w:rsid w:val="2626689D"/>
    <w:rsid w:val="27B22717"/>
    <w:rsid w:val="2A3B64D2"/>
    <w:rsid w:val="2C3550D4"/>
    <w:rsid w:val="2EAF0314"/>
    <w:rsid w:val="310006C2"/>
    <w:rsid w:val="317C2C76"/>
    <w:rsid w:val="31DC6C3C"/>
    <w:rsid w:val="35922F75"/>
    <w:rsid w:val="366E10CC"/>
    <w:rsid w:val="371643C5"/>
    <w:rsid w:val="383430DD"/>
    <w:rsid w:val="39864127"/>
    <w:rsid w:val="39C1344E"/>
    <w:rsid w:val="3A0B4CAB"/>
    <w:rsid w:val="3B02271A"/>
    <w:rsid w:val="3C835306"/>
    <w:rsid w:val="3D42560E"/>
    <w:rsid w:val="3D5A65CA"/>
    <w:rsid w:val="3EF041C9"/>
    <w:rsid w:val="3FE17A60"/>
    <w:rsid w:val="40307287"/>
    <w:rsid w:val="40D516CD"/>
    <w:rsid w:val="41E940B3"/>
    <w:rsid w:val="42A47A82"/>
    <w:rsid w:val="42EB0328"/>
    <w:rsid w:val="44B71804"/>
    <w:rsid w:val="450155C4"/>
    <w:rsid w:val="453271AB"/>
    <w:rsid w:val="459A0768"/>
    <w:rsid w:val="471D6BB8"/>
    <w:rsid w:val="496D5C2E"/>
    <w:rsid w:val="4A024AA2"/>
    <w:rsid w:val="4B745E6C"/>
    <w:rsid w:val="4B897A7D"/>
    <w:rsid w:val="4E1B5A61"/>
    <w:rsid w:val="500C5BAE"/>
    <w:rsid w:val="50FF64A6"/>
    <w:rsid w:val="55676FCD"/>
    <w:rsid w:val="58AB0C8B"/>
    <w:rsid w:val="58FE48D4"/>
    <w:rsid w:val="59C11342"/>
    <w:rsid w:val="5E48496B"/>
    <w:rsid w:val="61D75FB4"/>
    <w:rsid w:val="622C03DE"/>
    <w:rsid w:val="636A480D"/>
    <w:rsid w:val="6391562E"/>
    <w:rsid w:val="677C7175"/>
    <w:rsid w:val="68DF072D"/>
    <w:rsid w:val="6A0A5681"/>
    <w:rsid w:val="6A5C5FF0"/>
    <w:rsid w:val="6B812D81"/>
    <w:rsid w:val="6DC60AD6"/>
    <w:rsid w:val="6EF37A13"/>
    <w:rsid w:val="6FFD5DDE"/>
    <w:rsid w:val="70013651"/>
    <w:rsid w:val="70EE0BDA"/>
    <w:rsid w:val="72210150"/>
    <w:rsid w:val="77E34CC3"/>
    <w:rsid w:val="79BB7B32"/>
    <w:rsid w:val="7BAC215F"/>
    <w:rsid w:val="7CF73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rPr>
      <w:rFonts w:ascii="Times New Roman" w:hAnsi="Times New Roman"/>
    </w:r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qFormat/>
    <w:uiPriority w:val="0"/>
    <w:rPr>
      <w:sz w:val="18"/>
      <w:szCs w:val="18"/>
    </w:rPr>
  </w:style>
  <w:style w:type="character" w:customStyle="1" w:styleId="8">
    <w:name w:val="页脚 Char"/>
    <w:basedOn w:val="6"/>
    <w:link w:val="3"/>
    <w:semiHidden/>
    <w:qFormat/>
    <w:uiPriority w:val="99"/>
    <w:rPr>
      <w:sz w:val="18"/>
      <w:szCs w:val="18"/>
    </w:rPr>
  </w:style>
  <w:style w:type="paragraph" w:customStyle="1" w:styleId="9">
    <w:name w:val="列表段落1"/>
    <w:basedOn w:val="1"/>
    <w:qFormat/>
    <w:uiPriority w:val="99"/>
    <w:pPr>
      <w:ind w:firstLine="420" w:firstLineChars="200"/>
    </w:pPr>
    <w:rPr>
      <w:rFonts w:ascii="Times New Roman" w:hAnsi="Times New Roman"/>
    </w:rPr>
  </w:style>
  <w:style w:type="character" w:customStyle="1" w:styleId="10">
    <w:name w:val="称呼 Char"/>
    <w:basedOn w:val="6"/>
    <w:link w:val="2"/>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1</TotalTime>
  <ScaleCrop>false</ScaleCrop>
  <LinksUpToDate>false</LinksUpToDate>
  <CharactersWithSpaces>1056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2024-02-22T07:00:00Z</dcterms:created>
  <dc:creator>Administrator</dc:creator>
  <cp:lastModifiedBy>叶志胜</cp:lastModifiedBy>
  <cp:lastPrinted>2024-09-09T08:16:00Z</cp:lastPrinted>
  <dcterms:modified xsi:type="dcterms:W3CDTF">2025-08-28T09:07:31Z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60A6E46C6C414CF998BADBF1EE85BE0B</vt:lpwstr>
  </property>
</Properties>
</file>