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陈灿辉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0524刑初1241号</w:t>
      </w:r>
      <w:r>
        <w:rPr>
          <w:rFonts w:hint="eastAsia" w:ascii="仿宋_GB2312" w:hAnsi="仿宋_GB2312" w:cs="仿宋_GB2312"/>
          <w:szCs w:val="32"/>
        </w:rPr>
        <w:t>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陈灿辉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二年四个月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50000元，追缴违法所得人民币10500元，予以没收，上缴国库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该犯考核期2023年12月25日至2025年7月累计获考核分1718.5分，物质奖励2次；考核期内违规1次，扣考核分3分，无重大违规。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50000元，追缴违法所得人民币10500元，予以没收，上缴国库，已全部履行完毕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福建省安溪县人民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10500</w:t>
      </w:r>
      <w:r>
        <w:rPr>
          <w:rFonts w:hint="eastAsia" w:ascii="仿宋_GB2312" w:hAnsi="仿宋_GB2312" w:cs="仿宋_GB2312"/>
          <w:szCs w:val="32"/>
        </w:rPr>
        <w:t>元。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陈灿辉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陈灿辉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294F2A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88A50D6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7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2025-10-28T09:10:00Z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