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420" w:lineRule="exact"/>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keepNext w:val="0"/>
        <w:keepLines w:val="0"/>
        <w:pageBreakBefore w:val="0"/>
        <w:widowControl w:val="0"/>
        <w:kinsoku/>
        <w:wordWrap/>
        <w:overflowPunct/>
        <w:topLinePunct w:val="0"/>
        <w:autoSpaceDE/>
        <w:autoSpaceDN/>
        <w:bidi w:val="0"/>
        <w:adjustRightInd/>
        <w:snapToGrid w:val="0"/>
        <w:spacing w:line="420" w:lineRule="exact"/>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keepNext w:val="0"/>
        <w:keepLines w:val="0"/>
        <w:pageBreakBefore w:val="0"/>
        <w:widowControl w:val="0"/>
        <w:kinsoku/>
        <w:wordWrap/>
        <w:overflowPunct/>
        <w:topLinePunct w:val="0"/>
        <w:autoSpaceDE/>
        <w:autoSpaceDN/>
        <w:bidi w:val="0"/>
        <w:adjustRightInd/>
        <w:spacing w:line="420" w:lineRule="exact"/>
        <w:jc w:val="right"/>
        <w:textAlignment w:val="auto"/>
        <w:rPr>
          <w:rFonts w:hint="eastAsia" w:ascii="楷体_GB2312" w:eastAsia="楷体_GB2312" w:cs="楷体_GB2312"/>
          <w:sz w:val="32"/>
          <w:szCs w:val="32"/>
        </w:rPr>
      </w:pPr>
      <w:r>
        <w:rPr>
          <w:rFonts w:hint="eastAsia" w:ascii="楷体_GB2312" w:eastAsia="楷体_GB2312" w:cs="楷体_GB2312"/>
          <w:sz w:val="32"/>
          <w:szCs w:val="32"/>
        </w:rPr>
        <w:t>〔2025〕闽漳狱减字第588号</w:t>
      </w:r>
    </w:p>
    <w:p>
      <w:pPr>
        <w:keepNext w:val="0"/>
        <w:keepLines w:val="0"/>
        <w:pageBreakBefore w:val="0"/>
        <w:widowControl w:val="0"/>
        <w:kinsoku/>
        <w:wordWrap/>
        <w:overflowPunct/>
        <w:topLinePunct w:val="0"/>
        <w:autoSpaceDE/>
        <w:autoSpaceDN/>
        <w:bidi w:val="0"/>
        <w:adjustRightInd/>
        <w:spacing w:line="420" w:lineRule="exact"/>
        <w:jc w:val="right"/>
        <w:textAlignment w:val="auto"/>
        <w:rPr>
          <w:rFonts w:hint="eastAsia" w:ascii="楷体_GB2312" w:eastAsia="楷体_GB2312" w:cs="楷体_GB2312"/>
          <w:sz w:val="32"/>
          <w:szCs w:val="32"/>
        </w:rPr>
      </w:pPr>
    </w:p>
    <w:p>
      <w:pPr>
        <w:keepNext w:val="0"/>
        <w:keepLines w:val="0"/>
        <w:pageBreakBefore w:val="0"/>
        <w:widowControl w:val="0"/>
        <w:kinsoku/>
        <w:wordWrap/>
        <w:overflowPunct/>
        <w:topLinePunct w:val="0"/>
        <w:autoSpaceDE/>
        <w:autoSpaceDN/>
        <w:bidi w:val="0"/>
        <w:adjustRightInd/>
        <w:spacing w:line="420" w:lineRule="exact"/>
        <w:ind w:firstLine="640" w:firstLineChars="200"/>
        <w:jc w:val="left"/>
        <w:textAlignment w:val="auto"/>
        <w:rPr>
          <w:rFonts w:ascii="仿宋_GB2312" w:hAnsi="Times New Roman" w:eastAsia="仿宋_GB2312"/>
          <w:kern w:val="32"/>
          <w:sz w:val="32"/>
          <w:szCs w:val="32"/>
        </w:rPr>
      </w:pPr>
      <w:r>
        <w:rPr>
          <w:rFonts w:hint="eastAsia" w:ascii="仿宋_GB2312" w:hAnsi="Times New Roman" w:eastAsia="仿宋_GB2312"/>
          <w:kern w:val="32"/>
          <w:sz w:val="32"/>
          <w:szCs w:val="32"/>
        </w:rPr>
        <w:t>罪犯陈贵</w:t>
      </w:r>
      <w:r>
        <w:rPr>
          <w:rFonts w:hint="eastAsia" w:ascii="仿宋_GB2312" w:hAnsi="Times New Roman" w:eastAsia="仿宋_GB2312"/>
          <w:kern w:val="32"/>
          <w:sz w:val="32"/>
          <w:szCs w:val="32"/>
        </w:rPr>
        <w:fldChar w:fldCharType="begin"/>
      </w:r>
      <w:r>
        <w:rPr>
          <w:rFonts w:hint="eastAsia" w:ascii="仿宋_GB2312" w:hAnsi="Times New Roman" w:eastAsia="仿宋_GB2312"/>
          <w:kern w:val="32"/>
          <w:sz w:val="32"/>
          <w:szCs w:val="32"/>
        </w:rPr>
        <w:instrText xml:space="preserve"> AUTOTEXTLIST  \* MERGEFORMAT </w:instrText>
      </w:r>
      <w:r>
        <w:rPr>
          <w:rFonts w:hint="eastAsia" w:ascii="仿宋_GB2312" w:hAnsi="Times New Roman" w:eastAsia="仿宋_GB2312"/>
          <w:kern w:val="32"/>
          <w:sz w:val="32"/>
          <w:szCs w:val="32"/>
        </w:rPr>
        <w:fldChar w:fldCharType="end"/>
      </w:r>
      <w:r>
        <w:rPr>
          <w:rFonts w:hint="eastAsia" w:ascii="仿宋_GB2312" w:hAnsi="Times New Roman" w:eastAsia="仿宋_GB2312"/>
          <w:kern w:val="32"/>
          <w:sz w:val="32"/>
          <w:szCs w:val="32"/>
        </w:rPr>
        <w:t>，男，1976年1月7日出生，汉族，小学文化，住贵州省习水县</w:t>
      </w:r>
      <w:bookmarkStart w:id="0" w:name="_GoBack"/>
      <w:bookmarkEnd w:id="0"/>
      <w:r>
        <w:rPr>
          <w:rFonts w:hint="eastAsia" w:ascii="仿宋_GB2312" w:hAnsi="Times New Roman" w:eastAsia="仿宋_GB2312"/>
          <w:kern w:val="32"/>
          <w:sz w:val="32"/>
          <w:szCs w:val="32"/>
        </w:rPr>
        <w:t>，捕前系</w:t>
      </w:r>
      <w:r>
        <w:rPr>
          <w:rFonts w:hint="eastAsia" w:ascii="仿宋_GB2312" w:hAnsi="Times New Roman" w:eastAsia="仿宋_GB2312"/>
          <w:color w:val="000000"/>
          <w:kern w:val="32"/>
          <w:sz w:val="32"/>
          <w:szCs w:val="32"/>
        </w:rPr>
        <w:t>农民</w:t>
      </w:r>
      <w:r>
        <w:rPr>
          <w:rFonts w:hint="eastAsia" w:ascii="仿宋_GB2312" w:hAnsi="Times New Roman" w:eastAsia="仿宋_GB2312"/>
          <w:kern w:val="32"/>
          <w:sz w:val="32"/>
          <w:szCs w:val="32"/>
        </w:rPr>
        <w:t>。2010年3月11日因犯盗窃罪被贵州省遵义市汇川区人民法院判处有期徒刑十个月，并处罚金人民币1000元。</w:t>
      </w:r>
    </w:p>
    <w:p>
      <w:pPr>
        <w:keepNext w:val="0"/>
        <w:keepLines w:val="0"/>
        <w:pageBreakBefore w:val="0"/>
        <w:widowControl w:val="0"/>
        <w:kinsoku/>
        <w:wordWrap/>
        <w:overflowPunct/>
        <w:topLinePunct w:val="0"/>
        <w:autoSpaceDE/>
        <w:autoSpaceDN/>
        <w:bidi w:val="0"/>
        <w:adjustRightInd/>
        <w:spacing w:line="420" w:lineRule="exact"/>
        <w:ind w:firstLine="640" w:firstLineChars="200"/>
        <w:jc w:val="left"/>
        <w:textAlignment w:val="auto"/>
        <w:rPr>
          <w:rFonts w:ascii="仿宋_GB2312" w:eastAsia="仿宋_GB2312" w:cs="仿宋_GB2312"/>
          <w:kern w:val="0"/>
          <w:sz w:val="32"/>
          <w:szCs w:val="32"/>
        </w:rPr>
      </w:pPr>
      <w:r>
        <w:rPr>
          <w:rFonts w:hint="eastAsia" w:ascii="仿宋_GB2312" w:eastAsia="仿宋_GB2312" w:cs="仿宋_GB2312"/>
          <w:color w:val="000000"/>
          <w:kern w:val="0"/>
          <w:sz w:val="32"/>
          <w:szCs w:val="32"/>
        </w:rPr>
        <w:t>福建省龙岩市中级人民法院</w:t>
      </w:r>
      <w:r>
        <w:rPr>
          <w:rFonts w:hint="eastAsia" w:ascii="仿宋_GB2312" w:hAnsi="Times New Roman" w:eastAsia="仿宋_GB2312"/>
          <w:kern w:val="32"/>
          <w:sz w:val="32"/>
          <w:szCs w:val="32"/>
        </w:rPr>
        <w:t>于2013年3月14</w:t>
      </w:r>
      <w:r>
        <w:rPr>
          <w:rFonts w:hint="eastAsia" w:ascii="仿宋_GB2312" w:hAnsi="Times New Roman" w:eastAsia="仿宋_GB2312"/>
          <w:color w:val="000000"/>
          <w:kern w:val="32"/>
          <w:sz w:val="32"/>
          <w:szCs w:val="32"/>
        </w:rPr>
        <w:t>日作</w:t>
      </w:r>
      <w:r>
        <w:rPr>
          <w:rFonts w:hint="eastAsia" w:ascii="仿宋_GB2312" w:hAnsi="Times New Roman" w:eastAsia="仿宋_GB2312"/>
          <w:kern w:val="32"/>
          <w:sz w:val="32"/>
          <w:szCs w:val="32"/>
        </w:rPr>
        <w:t>出</w:t>
      </w:r>
      <w:r>
        <w:rPr>
          <w:rFonts w:hint="eastAsia" w:ascii="仿宋_GB2312" w:eastAsia="仿宋_GB2312" w:cs="仿宋_GB2312"/>
          <w:color w:val="000000"/>
          <w:kern w:val="0"/>
          <w:sz w:val="32"/>
          <w:szCs w:val="32"/>
        </w:rPr>
        <w:t>(2012)岩刑初字第49号刑事附带民事判决</w:t>
      </w:r>
      <w:r>
        <w:rPr>
          <w:rFonts w:hint="eastAsia" w:ascii="仿宋_GB2312" w:hAnsi="Times New Roman" w:eastAsia="仿宋_GB2312"/>
          <w:kern w:val="32"/>
          <w:sz w:val="32"/>
          <w:szCs w:val="32"/>
        </w:rPr>
        <w:t>，以被告人陈贵犯抢劫罪，判处无期徒刑，剥夺政治权利终身，并处没收个人财产人民币30000元，共同赔偿附带民事诉讼原告人人民币667583.5元。宣判后，该犯不服，提出上诉。福建省高级人民法院于2013年12月27日作出（2013）闽刑终字第244号刑事判决，撤销龙岩市中级人民法院</w:t>
      </w:r>
      <w:r>
        <w:rPr>
          <w:rFonts w:hint="eastAsia" w:ascii="仿宋_GB2312" w:eastAsia="仿宋_GB2312" w:cs="仿宋_GB2312"/>
          <w:color w:val="000000"/>
          <w:kern w:val="0"/>
          <w:sz w:val="32"/>
          <w:szCs w:val="32"/>
        </w:rPr>
        <w:t>(2012)岩刑初字第49号刑事附带民事判决中对陈贵犯抢劫罪的量刑部分。上诉人陈贵犯抢劫罪，判处有期徒刑十五年，剥夺政治权利三年，并处没收个人财产人民币30000元</w:t>
      </w:r>
      <w:r>
        <w:rPr>
          <w:rFonts w:hint="eastAsia" w:ascii="仿宋_GB2312" w:hAnsi="Times New Roman" w:eastAsia="仿宋_GB2312"/>
          <w:kern w:val="32"/>
          <w:sz w:val="32"/>
          <w:szCs w:val="32"/>
        </w:rPr>
        <w:t>。刑期自2012年6月15日起至2027年6月14日止。2014年2月8日交付福建省漳州监狱执行刑罚。</w:t>
      </w:r>
      <w:r>
        <w:rPr>
          <w:rFonts w:hint="eastAsia" w:ascii="仿宋_GB2312" w:eastAsia="仿宋_GB2312" w:cs="仿宋_GB2312"/>
          <w:kern w:val="0"/>
          <w:sz w:val="32"/>
          <w:szCs w:val="32"/>
        </w:rPr>
        <w:t>201</w:t>
      </w:r>
      <w:r>
        <w:rPr>
          <w:rFonts w:hint="eastAsia" w:ascii="仿宋_GB2312" w:eastAsia="仿宋_GB2312" w:cs="仿宋_GB2312"/>
          <w:color w:val="000000"/>
          <w:kern w:val="0"/>
          <w:sz w:val="32"/>
          <w:szCs w:val="32"/>
        </w:rPr>
        <w:t>7年3月27日，福建省漳州市中级人民法院以（2017）闽06刑更60号刑事裁定书，对其减刑六个月十五天，</w:t>
      </w:r>
      <w:r>
        <w:rPr>
          <w:rFonts w:hint="eastAsia" w:ascii="仿宋_GB2312" w:hAnsi="Times New Roman" w:eastAsia="仿宋_GB2312"/>
          <w:kern w:val="32"/>
          <w:sz w:val="32"/>
          <w:szCs w:val="32"/>
        </w:rPr>
        <w:t>剥夺政治权利三年不变</w:t>
      </w:r>
      <w:r>
        <w:rPr>
          <w:rFonts w:hint="eastAsia" w:ascii="仿宋_GB2312" w:eastAsia="仿宋_GB2312" w:cs="仿宋_GB2312"/>
          <w:color w:val="000000"/>
          <w:kern w:val="0"/>
          <w:sz w:val="32"/>
          <w:szCs w:val="32"/>
        </w:rPr>
        <w:t>；2019年1月25日，福建省漳州市中级人民法院以（2019）闽06刑更122号刑事裁定书，对其减刑五个月，</w:t>
      </w:r>
      <w:r>
        <w:rPr>
          <w:rFonts w:hint="eastAsia" w:ascii="仿宋_GB2312" w:hAnsi="Times New Roman" w:eastAsia="仿宋_GB2312"/>
          <w:kern w:val="32"/>
          <w:sz w:val="32"/>
          <w:szCs w:val="32"/>
        </w:rPr>
        <w:t>剥夺政治权利三年不变，裁定于</w:t>
      </w:r>
      <w:r>
        <w:rPr>
          <w:rFonts w:hint="eastAsia" w:ascii="仿宋_GB2312" w:eastAsia="仿宋_GB2312" w:cs="仿宋_GB2312"/>
          <w:color w:val="000000"/>
          <w:kern w:val="0"/>
          <w:sz w:val="32"/>
          <w:szCs w:val="32"/>
        </w:rPr>
        <w:t>2019年1月29日送达。现刑期至2026年6月29日。</w:t>
      </w:r>
      <w:r>
        <w:rPr>
          <w:rFonts w:hint="eastAsia" w:ascii="仿宋_GB2312" w:hAnsi="Times New Roman" w:eastAsia="仿宋_GB2312"/>
          <w:kern w:val="32"/>
          <w:sz w:val="32"/>
          <w:szCs w:val="32"/>
        </w:rPr>
        <w:t>属普管级罪犯。</w:t>
      </w:r>
    </w:p>
    <w:p>
      <w:pPr>
        <w:keepNext w:val="0"/>
        <w:keepLines w:val="0"/>
        <w:pageBreakBefore w:val="0"/>
        <w:widowControl w:val="0"/>
        <w:kinsoku/>
        <w:wordWrap/>
        <w:overflowPunct/>
        <w:topLinePunct w:val="0"/>
        <w:autoSpaceDE/>
        <w:autoSpaceDN/>
        <w:bidi w:val="0"/>
        <w:adjustRightInd/>
        <w:spacing w:line="420" w:lineRule="exact"/>
        <w:ind w:firstLine="640" w:firstLineChars="200"/>
        <w:jc w:val="left"/>
        <w:textAlignment w:val="auto"/>
        <w:rPr>
          <w:rFonts w:ascii="仿宋_GB2312" w:hAnsi="Times New Roman" w:eastAsia="仿宋_GB2312"/>
          <w:kern w:val="32"/>
          <w:sz w:val="32"/>
          <w:szCs w:val="32"/>
        </w:rPr>
      </w:pPr>
      <w:r>
        <w:rPr>
          <w:rFonts w:hint="eastAsia" w:ascii="仿宋_GB2312" w:hAnsi="Times New Roman" w:eastAsia="仿宋_GB2312"/>
          <w:kern w:val="32"/>
          <w:sz w:val="32"/>
          <w:szCs w:val="32"/>
        </w:rPr>
        <w:t>该犯自上次减刑以来确有悔改表现，具体事实如下：</w:t>
      </w:r>
    </w:p>
    <w:p>
      <w:pPr>
        <w:keepNext w:val="0"/>
        <w:keepLines w:val="0"/>
        <w:pageBreakBefore w:val="0"/>
        <w:widowControl w:val="0"/>
        <w:kinsoku/>
        <w:wordWrap/>
        <w:overflowPunct/>
        <w:topLinePunct w:val="0"/>
        <w:autoSpaceDE/>
        <w:autoSpaceDN/>
        <w:bidi w:val="0"/>
        <w:adjustRightInd/>
        <w:spacing w:line="420" w:lineRule="exact"/>
        <w:ind w:firstLine="640" w:firstLineChars="200"/>
        <w:jc w:val="left"/>
        <w:textAlignment w:val="auto"/>
        <w:rPr>
          <w:rFonts w:ascii="仿宋_GB2312" w:hAnsi="Times New Roman" w:eastAsia="仿宋_GB2312"/>
          <w:kern w:val="32"/>
          <w:sz w:val="32"/>
          <w:szCs w:val="32"/>
        </w:rPr>
      </w:pPr>
      <w:r>
        <w:rPr>
          <w:rFonts w:hint="eastAsia" w:ascii="仿宋_GB2312" w:hAnsi="Times New Roman" w:eastAsia="仿宋_GB2312"/>
          <w:kern w:val="32"/>
          <w:sz w:val="32"/>
          <w:szCs w:val="32"/>
        </w:rPr>
        <w:t>认罪悔罪：能服从法院判决，自书认罪悔罪书。</w:t>
      </w:r>
    </w:p>
    <w:p>
      <w:pPr>
        <w:keepNext w:val="0"/>
        <w:keepLines w:val="0"/>
        <w:pageBreakBefore w:val="0"/>
        <w:widowControl w:val="0"/>
        <w:kinsoku/>
        <w:wordWrap/>
        <w:overflowPunct/>
        <w:topLinePunct w:val="0"/>
        <w:autoSpaceDE/>
        <w:autoSpaceDN/>
        <w:bidi w:val="0"/>
        <w:adjustRightInd/>
        <w:spacing w:line="420" w:lineRule="exact"/>
        <w:ind w:firstLine="640" w:firstLineChars="200"/>
        <w:jc w:val="left"/>
        <w:textAlignment w:val="auto"/>
        <w:rPr>
          <w:rFonts w:ascii="仿宋_GB2312" w:hAnsi="Times New Roman" w:eastAsia="仿宋_GB2312"/>
          <w:kern w:val="32"/>
          <w:sz w:val="32"/>
          <w:szCs w:val="32"/>
        </w:rPr>
      </w:pPr>
      <w:r>
        <w:rPr>
          <w:rFonts w:hint="eastAsia" w:ascii="仿宋_GB2312" w:hAnsi="Times New Roman" w:eastAsia="仿宋_GB2312"/>
          <w:kern w:val="32"/>
          <w:sz w:val="32"/>
          <w:szCs w:val="32"/>
        </w:rPr>
        <w:t>遵守监规：能遵守法律法规及监规纪律，接受教育改造。</w:t>
      </w:r>
    </w:p>
    <w:p>
      <w:pPr>
        <w:keepNext w:val="0"/>
        <w:keepLines w:val="0"/>
        <w:pageBreakBefore w:val="0"/>
        <w:widowControl w:val="0"/>
        <w:kinsoku/>
        <w:wordWrap/>
        <w:overflowPunct/>
        <w:topLinePunct w:val="0"/>
        <w:autoSpaceDE/>
        <w:autoSpaceDN/>
        <w:bidi w:val="0"/>
        <w:adjustRightInd/>
        <w:spacing w:line="420" w:lineRule="exact"/>
        <w:ind w:firstLine="640" w:firstLineChars="200"/>
        <w:jc w:val="left"/>
        <w:textAlignment w:val="auto"/>
        <w:rPr>
          <w:rFonts w:ascii="仿宋_GB2312" w:hAnsi="Times New Roman" w:eastAsia="仿宋_GB2312"/>
          <w:kern w:val="32"/>
          <w:sz w:val="32"/>
          <w:szCs w:val="32"/>
        </w:rPr>
      </w:pPr>
      <w:r>
        <w:rPr>
          <w:rFonts w:hint="eastAsia" w:ascii="仿宋_GB2312" w:hAnsi="Times New Roman" w:eastAsia="仿宋_GB2312"/>
          <w:kern w:val="32"/>
          <w:sz w:val="32"/>
          <w:szCs w:val="32"/>
        </w:rPr>
        <w:t>学习情况：能参加思想、文化、职业技术教育。</w:t>
      </w:r>
    </w:p>
    <w:p>
      <w:pPr>
        <w:keepNext w:val="0"/>
        <w:keepLines w:val="0"/>
        <w:pageBreakBefore w:val="0"/>
        <w:widowControl w:val="0"/>
        <w:kinsoku/>
        <w:wordWrap/>
        <w:overflowPunct/>
        <w:topLinePunct w:val="0"/>
        <w:autoSpaceDE/>
        <w:autoSpaceDN/>
        <w:bidi w:val="0"/>
        <w:adjustRightInd/>
        <w:spacing w:line="420" w:lineRule="exact"/>
        <w:ind w:firstLine="640" w:firstLineChars="200"/>
        <w:jc w:val="left"/>
        <w:textAlignment w:val="auto"/>
        <w:rPr>
          <w:rFonts w:ascii="仿宋_GB2312" w:hAnsi="Times New Roman" w:eastAsia="仿宋_GB2312"/>
          <w:kern w:val="32"/>
          <w:sz w:val="32"/>
          <w:szCs w:val="32"/>
        </w:rPr>
      </w:pPr>
      <w:r>
        <w:rPr>
          <w:rFonts w:hint="eastAsia" w:ascii="仿宋_GB2312" w:hAnsi="Times New Roman" w:eastAsia="仿宋_GB2312"/>
          <w:kern w:val="32"/>
          <w:sz w:val="32"/>
          <w:szCs w:val="32"/>
        </w:rPr>
        <w:t>劳动改造：能参加劳动，努力完成劳动任务。</w:t>
      </w:r>
    </w:p>
    <w:p>
      <w:pPr>
        <w:keepNext w:val="0"/>
        <w:keepLines w:val="0"/>
        <w:pageBreakBefore w:val="0"/>
        <w:widowControl w:val="0"/>
        <w:kinsoku/>
        <w:wordWrap/>
        <w:overflowPunct/>
        <w:topLinePunct w:val="0"/>
        <w:autoSpaceDE/>
        <w:autoSpaceDN/>
        <w:bidi w:val="0"/>
        <w:adjustRightInd/>
        <w:spacing w:line="420" w:lineRule="exact"/>
        <w:ind w:firstLine="640" w:firstLineChars="200"/>
        <w:jc w:val="left"/>
        <w:textAlignment w:val="auto"/>
        <w:rPr>
          <w:rFonts w:ascii="仿宋_GB2312" w:hAnsi="Times New Roman" w:eastAsia="仿宋_GB2312"/>
          <w:kern w:val="32"/>
          <w:sz w:val="32"/>
          <w:szCs w:val="32"/>
        </w:rPr>
      </w:pPr>
      <w:r>
        <w:rPr>
          <w:rFonts w:hint="eastAsia" w:ascii="仿宋_GB2312" w:hAnsi="Times New Roman" w:eastAsia="仿宋_GB2312"/>
          <w:kern w:val="32"/>
          <w:sz w:val="32"/>
          <w:szCs w:val="32"/>
        </w:rPr>
        <w:t>奖惩情况：该犯上次评定表扬剩余考核分275分，本轮考核期2018年11月至2025年7月累计获考核分9977分，合计获得考核分10252分，表扬9次，物质奖励8次。间隔期2019年1月29日至2025年7月，获得考核分9449.5分。考核期内无违规扣分。</w:t>
      </w:r>
    </w:p>
    <w:p>
      <w:pPr>
        <w:keepNext w:val="0"/>
        <w:keepLines w:val="0"/>
        <w:pageBreakBefore w:val="0"/>
        <w:widowControl w:val="0"/>
        <w:kinsoku/>
        <w:wordWrap/>
        <w:overflowPunct/>
        <w:topLinePunct w:val="0"/>
        <w:autoSpaceDE/>
        <w:autoSpaceDN/>
        <w:bidi w:val="0"/>
        <w:adjustRightInd/>
        <w:spacing w:line="420" w:lineRule="exact"/>
        <w:ind w:firstLine="640" w:firstLineChars="200"/>
        <w:jc w:val="left"/>
        <w:textAlignment w:val="auto"/>
        <w:rPr>
          <w:rFonts w:ascii="仿宋_GB2312" w:eastAsia="仿宋_GB2312" w:cs="仿宋_GB2312"/>
          <w:kern w:val="0"/>
          <w:sz w:val="32"/>
          <w:szCs w:val="32"/>
        </w:rPr>
      </w:pPr>
      <w:r>
        <w:rPr>
          <w:rFonts w:hint="eastAsia" w:ascii="仿宋_GB2312" w:hAnsi="Times New Roman" w:eastAsia="仿宋_GB2312"/>
          <w:kern w:val="32"/>
          <w:sz w:val="32"/>
          <w:szCs w:val="32"/>
        </w:rPr>
        <w:t>原判财产性判项没收个人财产人民币30000元,已履行人民币10300元，共同赔偿附带民事诉讼原告人人民币667583.5元，已履行人民币8200元（含同案犯履行人民币500元）；</w:t>
      </w:r>
      <w:r>
        <w:rPr>
          <w:rFonts w:hint="eastAsia" w:ascii="仿宋_GB2312" w:eastAsia="仿宋_GB2312" w:cs="仿宋_GB2312"/>
          <w:kern w:val="0"/>
          <w:sz w:val="32"/>
          <w:szCs w:val="32"/>
        </w:rPr>
        <w:t>其中本次提请向福建省漳州市中级人民法院缴纳没收个人财产人民币4300元，共同赔偿款人民币500元，向福建省龙岩市中级人民法院缴纳共同赔偿款人民币7200元</w:t>
      </w:r>
      <w:r>
        <w:rPr>
          <w:rFonts w:hint="eastAsia" w:ascii="仿宋_GB2312" w:eastAsia="仿宋_GB2312" w:cs="仿宋_GB2312"/>
          <w:kern w:val="0"/>
          <w:sz w:val="32"/>
          <w:szCs w:val="32"/>
          <w:lang w:eastAsia="zh-CN"/>
        </w:rPr>
        <w:t>。</w:t>
      </w:r>
      <w:r>
        <w:rPr>
          <w:rFonts w:hint="eastAsia" w:ascii="仿宋_GB2312" w:eastAsia="仿宋_GB2312" w:cs="仿宋_GB2312"/>
          <w:kern w:val="0"/>
          <w:sz w:val="32"/>
          <w:szCs w:val="32"/>
        </w:rPr>
        <w:t>服刑期间</w:t>
      </w:r>
      <w:r>
        <w:rPr>
          <w:rFonts w:hint="eastAsia" w:ascii="仿宋_GB2312" w:hAnsi="Times New Roman" w:eastAsia="仿宋_GB2312"/>
          <w:kern w:val="32"/>
          <w:sz w:val="32"/>
          <w:szCs w:val="32"/>
        </w:rPr>
        <w:t>财产刑履行比例2.65%。</w:t>
      </w:r>
      <w:r>
        <w:rPr>
          <w:rFonts w:hint="eastAsia" w:ascii="仿宋_GB2312" w:eastAsia="仿宋_GB2312" w:cs="仿宋_GB2312"/>
          <w:kern w:val="0"/>
          <w:sz w:val="32"/>
          <w:szCs w:val="32"/>
        </w:rPr>
        <w:t>该犯考核期月均消费人民币284.97元，账户可用余额人民币890.29元。2025年7月8日福建省龙岩市中级人民法院财产性判项复函载明：未发现被执行人陈贵其他可供执行财产。</w:t>
      </w:r>
    </w:p>
    <w:p>
      <w:pPr>
        <w:keepNext w:val="0"/>
        <w:keepLines w:val="0"/>
        <w:pageBreakBefore w:val="0"/>
        <w:widowControl w:val="0"/>
        <w:kinsoku/>
        <w:wordWrap/>
        <w:overflowPunct/>
        <w:topLinePunct w:val="0"/>
        <w:autoSpaceDE/>
        <w:autoSpaceDN/>
        <w:bidi w:val="0"/>
        <w:adjustRightInd/>
        <w:spacing w:line="420" w:lineRule="exact"/>
        <w:ind w:firstLine="640" w:firstLineChars="200"/>
        <w:jc w:val="left"/>
        <w:textAlignment w:val="auto"/>
        <w:rPr>
          <w:rFonts w:hint="eastAsia" w:ascii="仿宋_GB2312" w:hAnsi="Times New Roman" w:eastAsia="仿宋_GB2312"/>
          <w:kern w:val="32"/>
          <w:sz w:val="32"/>
          <w:szCs w:val="32"/>
        </w:rPr>
      </w:pPr>
      <w:r>
        <w:rPr>
          <w:rFonts w:hint="eastAsia" w:ascii="仿宋_GB2312" w:hAnsi="Times New Roman" w:eastAsia="仿宋_GB2312"/>
          <w:kern w:val="32"/>
          <w:sz w:val="32"/>
          <w:szCs w:val="32"/>
        </w:rPr>
        <w:t>该犯财产性判项义务履行金额未达到其个人应履行总额30%，因此提请减刑幅度扣减三个月。该犯系因犯抢劫罪被判处十年以上有期徒刑的罪犯，属于从严掌握减刑对象，因此提请减刑幅度扣减一个月。合计减刑幅度扣减四个月。</w:t>
      </w:r>
    </w:p>
    <w:p>
      <w:pPr>
        <w:keepNext w:val="0"/>
        <w:keepLines w:val="0"/>
        <w:pageBreakBefore w:val="0"/>
        <w:widowControl w:val="0"/>
        <w:kinsoku/>
        <w:wordWrap/>
        <w:overflowPunct/>
        <w:topLinePunct w:val="0"/>
        <w:autoSpaceDE/>
        <w:autoSpaceDN/>
        <w:bidi w:val="0"/>
        <w:adjustRightInd/>
        <w:spacing w:line="420" w:lineRule="exact"/>
        <w:ind w:firstLine="640" w:firstLineChars="200"/>
        <w:jc w:val="left"/>
        <w:textAlignment w:val="auto"/>
        <w:rPr>
          <w:rFonts w:ascii="仿宋_GB2312" w:hAnsi="Times New Roman" w:eastAsia="仿宋_GB2312"/>
          <w:kern w:val="32"/>
          <w:sz w:val="32"/>
          <w:szCs w:val="32"/>
        </w:rPr>
      </w:pPr>
      <w:r>
        <w:rPr>
          <w:rFonts w:hint="eastAsia" w:ascii="仿宋_GB2312" w:hAnsi="Times New Roman" w:eastAsia="仿宋_GB2312"/>
          <w:kern w:val="32"/>
          <w:sz w:val="32"/>
          <w:szCs w:val="32"/>
        </w:rPr>
        <w:t>本案于</w:t>
      </w:r>
      <w:r>
        <w:rPr>
          <w:rFonts w:ascii="仿宋_GB2312" w:hAnsi="Times New Roman" w:eastAsia="仿宋_GB2312"/>
          <w:kern w:val="32"/>
          <w:sz w:val="32"/>
          <w:szCs w:val="32"/>
        </w:rPr>
        <w:t>2025</w:t>
      </w:r>
      <w:r>
        <w:rPr>
          <w:rFonts w:hint="eastAsia" w:ascii="仿宋_GB2312" w:hAnsi="Times New Roman" w:eastAsia="仿宋_GB2312"/>
          <w:kern w:val="32"/>
          <w:sz w:val="32"/>
          <w:szCs w:val="32"/>
        </w:rPr>
        <w:t>年10月16日至2025年10月22日在狱内公示未收到不同意见。</w:t>
      </w:r>
    </w:p>
    <w:p>
      <w:pPr>
        <w:keepNext w:val="0"/>
        <w:keepLines w:val="0"/>
        <w:pageBreakBefore w:val="0"/>
        <w:widowControl w:val="0"/>
        <w:kinsoku/>
        <w:wordWrap/>
        <w:overflowPunct/>
        <w:topLinePunct w:val="0"/>
        <w:autoSpaceDE/>
        <w:autoSpaceDN/>
        <w:bidi w:val="0"/>
        <w:adjustRightInd/>
        <w:spacing w:line="420" w:lineRule="exact"/>
        <w:ind w:right="-31" w:rightChars="-15" w:firstLine="614" w:firstLineChars="192"/>
        <w:jc w:val="left"/>
        <w:textAlignment w:val="auto"/>
        <w:rPr>
          <w:rFonts w:ascii="仿宋_GB2312" w:hAnsi="Times New Roman" w:eastAsia="仿宋_GB2312"/>
          <w:kern w:val="32"/>
          <w:sz w:val="32"/>
          <w:szCs w:val="32"/>
        </w:rPr>
      </w:pPr>
      <w:r>
        <w:rPr>
          <w:rFonts w:hint="eastAsia" w:ascii="仿宋_GB2312" w:hAnsi="Times New Roman" w:eastAsia="仿宋_GB2312"/>
          <w:kern w:val="32"/>
          <w:sz w:val="32"/>
          <w:szCs w:val="32"/>
        </w:rPr>
        <w:t>因此，依照《中华人民共和国刑法》第七十八条、第七十九条，《中华人民共和国刑事诉讼法》第二百七十三条第二款，《中华人民共和国监狱法》第二十九条的规定，建议对罪犯陈贵予以减刑五个月，剥夺政治权利三年不变</w:t>
      </w:r>
      <w:r>
        <w:rPr>
          <w:rFonts w:hint="eastAsia" w:ascii="仿宋_GB2312" w:eastAsia="仿宋_GB2312" w:cs="仿宋_GB2312"/>
          <w:color w:val="000000"/>
          <w:kern w:val="0"/>
          <w:sz w:val="32"/>
          <w:szCs w:val="32"/>
        </w:rPr>
        <w:t>。</w:t>
      </w:r>
      <w:r>
        <w:rPr>
          <w:rFonts w:hint="eastAsia" w:ascii="仿宋_GB2312" w:hAnsi="Times New Roman" w:eastAsia="仿宋_GB2312"/>
          <w:kern w:val="32"/>
          <w:sz w:val="32"/>
          <w:szCs w:val="32"/>
        </w:rPr>
        <w:t>特提请你院审理裁定。</w:t>
      </w:r>
    </w:p>
    <w:p>
      <w:pPr>
        <w:keepNext w:val="0"/>
        <w:keepLines w:val="0"/>
        <w:pageBreakBefore w:val="0"/>
        <w:widowControl w:val="0"/>
        <w:kinsoku/>
        <w:wordWrap/>
        <w:overflowPunct/>
        <w:topLinePunct w:val="0"/>
        <w:autoSpaceDE/>
        <w:autoSpaceDN/>
        <w:bidi w:val="0"/>
        <w:adjustRightInd/>
        <w:spacing w:line="420" w:lineRule="exact"/>
        <w:ind w:right="-31" w:rightChars="-15" w:firstLine="614" w:firstLineChars="192"/>
        <w:jc w:val="left"/>
        <w:textAlignment w:val="auto"/>
        <w:rPr>
          <w:rFonts w:ascii="仿宋_GB2312" w:hAnsi="Times New Roman" w:eastAsia="仿宋_GB2312"/>
          <w:kern w:val="32"/>
          <w:sz w:val="32"/>
          <w:szCs w:val="32"/>
        </w:rPr>
      </w:pPr>
      <w:r>
        <w:rPr>
          <w:rFonts w:hint="eastAsia" w:ascii="仿宋_GB2312" w:hAnsi="Times New Roman" w:eastAsia="仿宋_GB2312"/>
          <w:kern w:val="32"/>
          <w:sz w:val="32"/>
          <w:szCs w:val="32"/>
        </w:rPr>
        <w:t>此致</w:t>
      </w:r>
    </w:p>
    <w:p>
      <w:pPr>
        <w:keepNext w:val="0"/>
        <w:keepLines w:val="0"/>
        <w:pageBreakBefore w:val="0"/>
        <w:widowControl w:val="0"/>
        <w:kinsoku/>
        <w:wordWrap/>
        <w:overflowPunct/>
        <w:topLinePunct w:val="0"/>
        <w:autoSpaceDE/>
        <w:autoSpaceDN/>
        <w:bidi w:val="0"/>
        <w:adjustRightInd/>
        <w:spacing w:line="420" w:lineRule="exact"/>
        <w:ind w:right="-31" w:rightChars="-15"/>
        <w:jc w:val="left"/>
        <w:textAlignment w:val="auto"/>
        <w:rPr>
          <w:rFonts w:hint="eastAsia" w:ascii="仿宋_GB2312" w:hAnsi="Times New Roman" w:eastAsia="仿宋_GB2312"/>
          <w:kern w:val="32"/>
          <w:sz w:val="32"/>
          <w:szCs w:val="32"/>
        </w:rPr>
      </w:pPr>
      <w:r>
        <w:rPr>
          <w:rFonts w:hint="eastAsia" w:ascii="仿宋_GB2312" w:hAnsi="Times New Roman" w:eastAsia="仿宋_GB2312"/>
          <w:kern w:val="32"/>
          <w:sz w:val="32"/>
          <w:szCs w:val="32"/>
        </w:rPr>
        <w:t>福建省漳州市中级人民法院</w:t>
      </w:r>
    </w:p>
    <w:p>
      <w:pPr>
        <w:keepNext w:val="0"/>
        <w:keepLines w:val="0"/>
        <w:pageBreakBefore w:val="0"/>
        <w:widowControl w:val="0"/>
        <w:kinsoku/>
        <w:wordWrap/>
        <w:overflowPunct/>
        <w:topLinePunct w:val="0"/>
        <w:autoSpaceDE/>
        <w:autoSpaceDN/>
        <w:bidi w:val="0"/>
        <w:adjustRightInd/>
        <w:spacing w:line="420" w:lineRule="exact"/>
        <w:ind w:right="-31" w:rightChars="-15"/>
        <w:jc w:val="left"/>
        <w:textAlignment w:val="auto"/>
        <w:rPr>
          <w:rFonts w:hint="eastAsia" w:ascii="仿宋_GB2312" w:hAnsi="Times New Roman" w:eastAsia="仿宋_GB2312"/>
          <w:kern w:val="32"/>
          <w:sz w:val="32"/>
          <w:szCs w:val="32"/>
        </w:rPr>
      </w:pPr>
    </w:p>
    <w:p>
      <w:pPr>
        <w:keepNext w:val="0"/>
        <w:keepLines w:val="0"/>
        <w:pageBreakBefore w:val="0"/>
        <w:widowControl w:val="0"/>
        <w:kinsoku/>
        <w:wordWrap/>
        <w:overflowPunct/>
        <w:topLinePunct w:val="0"/>
        <w:autoSpaceDE/>
        <w:autoSpaceDN/>
        <w:bidi w:val="0"/>
        <w:adjustRightInd/>
        <w:spacing w:line="420" w:lineRule="exact"/>
        <w:ind w:firstLine="640" w:firstLineChars="200"/>
        <w:jc w:val="left"/>
        <w:textAlignment w:val="auto"/>
        <w:rPr>
          <w:rFonts w:ascii="仿宋_GB2312" w:hAnsi="Times New Roman" w:eastAsia="仿宋_GB2312" w:cs="仿宋_GB2312"/>
          <w:kern w:val="32"/>
          <w:sz w:val="32"/>
          <w:szCs w:val="32"/>
        </w:rPr>
      </w:pPr>
      <w:r>
        <w:rPr>
          <w:rFonts w:hint="eastAsia" w:ascii="仿宋_GB2312" w:hAnsi="Times New Roman" w:eastAsia="仿宋_GB2312" w:cs="仿宋_GB2312"/>
          <w:kern w:val="32"/>
          <w:sz w:val="32"/>
          <w:szCs w:val="32"/>
        </w:rPr>
        <w:t>附件：⒈罪犯</w:t>
      </w:r>
      <w:r>
        <w:rPr>
          <w:rFonts w:hint="eastAsia" w:ascii="仿宋_GB2312" w:hAnsi="Times New Roman" w:eastAsia="仿宋_GB2312"/>
          <w:kern w:val="32"/>
          <w:sz w:val="32"/>
          <w:szCs w:val="32"/>
        </w:rPr>
        <w:t>陈贵</w:t>
      </w:r>
      <w:r>
        <w:rPr>
          <w:rFonts w:hint="eastAsia" w:ascii="仿宋_GB2312" w:hAnsi="Times New Roman" w:eastAsia="仿宋_GB2312" w:cs="仿宋_GB2312"/>
          <w:kern w:val="32"/>
          <w:sz w:val="32"/>
          <w:szCs w:val="32"/>
        </w:rPr>
        <w:t>卷宗</w:t>
      </w:r>
      <w:r>
        <w:rPr>
          <w:rFonts w:hint="eastAsia" w:ascii="仿宋_GB2312" w:hAnsi="Times New Roman" w:eastAsia="仿宋_GB2312" w:cs="仿宋_GB2312"/>
          <w:kern w:val="32"/>
          <w:sz w:val="32"/>
          <w:szCs w:val="32"/>
          <w:lang w:eastAsia="zh-CN"/>
        </w:rPr>
        <w:t>二</w:t>
      </w:r>
      <w:r>
        <w:rPr>
          <w:rFonts w:hint="eastAsia" w:ascii="仿宋_GB2312" w:hAnsi="Times New Roman" w:eastAsia="仿宋_GB2312" w:cs="仿宋_GB2312"/>
          <w:kern w:val="32"/>
          <w:sz w:val="32"/>
          <w:szCs w:val="32"/>
        </w:rPr>
        <w:t>册</w:t>
      </w:r>
    </w:p>
    <w:p>
      <w:pPr>
        <w:keepNext w:val="0"/>
        <w:keepLines w:val="0"/>
        <w:pageBreakBefore w:val="0"/>
        <w:widowControl w:val="0"/>
        <w:kinsoku/>
        <w:wordWrap/>
        <w:overflowPunct/>
        <w:topLinePunct w:val="0"/>
        <w:autoSpaceDE/>
        <w:autoSpaceDN/>
        <w:bidi w:val="0"/>
        <w:adjustRightInd/>
        <w:spacing w:line="420" w:lineRule="exact"/>
        <w:ind w:right="-31" w:rightChars="-15" w:firstLine="1600" w:firstLineChars="500"/>
        <w:jc w:val="left"/>
        <w:textAlignment w:val="auto"/>
        <w:rPr>
          <w:rFonts w:hint="eastAsia" w:ascii="仿宋_GB2312" w:hAnsi="Times New Roman" w:eastAsia="仿宋_GB2312" w:cs="仿宋_GB2312"/>
          <w:kern w:val="32"/>
          <w:sz w:val="32"/>
          <w:szCs w:val="32"/>
        </w:rPr>
      </w:pPr>
      <w:r>
        <w:rPr>
          <w:rFonts w:hint="eastAsia" w:ascii="仿宋_GB2312" w:hAnsi="Times New Roman" w:eastAsia="仿宋_GB2312" w:cs="仿宋_GB2312"/>
          <w:kern w:val="32"/>
          <w:sz w:val="32"/>
          <w:szCs w:val="32"/>
        </w:rPr>
        <w:t>⒉减刑建议书</w:t>
      </w:r>
      <w:r>
        <w:rPr>
          <w:rFonts w:hint="eastAsia" w:ascii="仿宋_GB2312" w:hAnsi="Times New Roman" w:eastAsia="仿宋_GB2312" w:cs="仿宋_GB2312"/>
          <w:kern w:val="32"/>
          <w:sz w:val="32"/>
          <w:szCs w:val="32"/>
          <w:lang w:eastAsia="zh-CN"/>
        </w:rPr>
        <w:t>二</w:t>
      </w:r>
      <w:r>
        <w:rPr>
          <w:rFonts w:hint="eastAsia" w:ascii="仿宋_GB2312" w:hAnsi="Times New Roman" w:eastAsia="仿宋_GB2312" w:cs="仿宋_GB2312"/>
          <w:kern w:val="32"/>
          <w:sz w:val="32"/>
          <w:szCs w:val="32"/>
        </w:rPr>
        <w:t>份</w:t>
      </w:r>
    </w:p>
    <w:p>
      <w:pPr>
        <w:keepNext w:val="0"/>
        <w:keepLines w:val="0"/>
        <w:pageBreakBefore w:val="0"/>
        <w:widowControl w:val="0"/>
        <w:kinsoku/>
        <w:wordWrap/>
        <w:overflowPunct/>
        <w:topLinePunct w:val="0"/>
        <w:autoSpaceDE/>
        <w:autoSpaceDN/>
        <w:bidi w:val="0"/>
        <w:adjustRightInd/>
        <w:spacing w:line="420" w:lineRule="exact"/>
        <w:ind w:right="-31" w:rightChars="-15"/>
        <w:jc w:val="left"/>
        <w:textAlignment w:val="auto"/>
        <w:rPr>
          <w:rFonts w:hint="eastAsia" w:ascii="仿宋_GB2312" w:hAnsi="Times New Roman" w:eastAsia="仿宋_GB2312" w:cs="仿宋_GB2312"/>
          <w:kern w:val="32"/>
          <w:sz w:val="32"/>
          <w:szCs w:val="32"/>
        </w:rPr>
      </w:pPr>
    </w:p>
    <w:p>
      <w:pPr>
        <w:keepNext w:val="0"/>
        <w:keepLines w:val="0"/>
        <w:pageBreakBefore w:val="0"/>
        <w:widowControl w:val="0"/>
        <w:kinsoku/>
        <w:wordWrap w:val="0"/>
        <w:overflowPunct/>
        <w:topLinePunct w:val="0"/>
        <w:autoSpaceDE/>
        <w:autoSpaceDN/>
        <w:bidi w:val="0"/>
        <w:adjustRightInd/>
        <w:spacing w:line="420" w:lineRule="exact"/>
        <w:ind w:right="-31" w:rightChars="-15"/>
        <w:jc w:val="right"/>
        <w:textAlignment w:val="auto"/>
        <w:rPr>
          <w:rFonts w:hint="default" w:ascii="仿宋_GB2312" w:hAnsi="Times New Roman" w:eastAsia="仿宋_GB2312"/>
          <w:kern w:val="32"/>
          <w:sz w:val="32"/>
          <w:szCs w:val="32"/>
          <w:lang w:val="en-US" w:eastAsia="zh-CN"/>
        </w:rPr>
      </w:pPr>
      <w:r>
        <w:rPr>
          <w:rFonts w:hint="eastAsia" w:ascii="仿宋_GB2312" w:hAnsi="Times New Roman" w:eastAsia="仿宋_GB2312"/>
          <w:kern w:val="32"/>
          <w:sz w:val="32"/>
          <w:szCs w:val="32"/>
        </w:rPr>
        <w:t>福建省漳州监狱</w:t>
      </w:r>
      <w:r>
        <w:rPr>
          <w:rFonts w:hint="eastAsia" w:ascii="仿宋_GB2312" w:hAnsi="Times New Roman" w:eastAsia="仿宋_GB2312"/>
          <w:kern w:val="3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pacing w:line="420" w:lineRule="exact"/>
        <w:ind w:right="840" w:rightChars="400"/>
        <w:jc w:val="right"/>
        <w:textAlignment w:val="auto"/>
      </w:pPr>
      <w:r>
        <w:rPr>
          <w:rFonts w:hint="eastAsia" w:ascii="仿宋_GB2312" w:hAnsi="Times New Roman" w:eastAsia="仿宋_GB2312"/>
          <w:kern w:val="32"/>
          <w:sz w:val="32"/>
          <w:szCs w:val="32"/>
        </w:rPr>
        <w:t>2025年10月27日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D6705"/>
    <w:rsid w:val="000D6705"/>
    <w:rsid w:val="00565ED9"/>
    <w:rsid w:val="007A1E29"/>
    <w:rsid w:val="008D08FD"/>
    <w:rsid w:val="00A47A70"/>
    <w:rsid w:val="271E5A82"/>
    <w:rsid w:val="55C61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228</Words>
  <Characters>1305</Characters>
  <Lines>10</Lines>
  <Paragraphs>3</Paragraphs>
  <TotalTime>10</TotalTime>
  <ScaleCrop>false</ScaleCrop>
  <LinksUpToDate>false</LinksUpToDate>
  <CharactersWithSpaces>1530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2025-10-16T08:34:00Z</dcterms:created>
  <dc:creator>user</dc:creator>
  <cp:lastModifiedBy>叶志胜</cp:lastModifiedBy>
  <dcterms:modified xsi:type="dcterms:W3CDTF">2025-10-28T09:10:48Z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3858CC9EABFC43ABBD4C575AA9133BC6</vt:lpwstr>
  </property>
</Properties>
</file>