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420" w:lineRule="exact"/>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keepNext w:val="0"/>
        <w:keepLines w:val="0"/>
        <w:pageBreakBefore w:val="0"/>
        <w:widowControl w:val="0"/>
        <w:kinsoku/>
        <w:wordWrap/>
        <w:overflowPunct/>
        <w:topLinePunct w:val="0"/>
        <w:autoSpaceDE/>
        <w:autoSpaceDN/>
        <w:bidi w:val="0"/>
        <w:adjustRightInd/>
        <w:snapToGrid w:val="0"/>
        <w:spacing w:line="420" w:lineRule="exact"/>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keepNext w:val="0"/>
        <w:keepLines w:val="0"/>
        <w:pageBreakBefore w:val="0"/>
        <w:widowControl w:val="0"/>
        <w:kinsoku/>
        <w:wordWrap/>
        <w:overflowPunct/>
        <w:topLinePunct w:val="0"/>
        <w:autoSpaceDE/>
        <w:autoSpaceDN/>
        <w:bidi w:val="0"/>
        <w:adjustRightInd/>
        <w:spacing w:line="420" w:lineRule="exact"/>
        <w:ind w:firstLine="707" w:firstLineChars="221"/>
        <w:jc w:val="right"/>
        <w:textAlignment w:val="auto"/>
        <w:rPr>
          <w:rFonts w:ascii="楷体_GB2312" w:hAnsi="Times New Roman" w:eastAsia="楷体_GB2312" w:cs="楷体_GB2312"/>
          <w:sz w:val="32"/>
          <w:szCs w:val="32"/>
        </w:rPr>
      </w:pPr>
      <w:r>
        <w:rPr>
          <w:rFonts w:hint="eastAsia" w:ascii="楷体_GB2312" w:hAnsi="Times New Roman" w:eastAsia="楷体_GB2312" w:cs="楷体_GB2312"/>
          <w:sz w:val="32"/>
          <w:szCs w:val="32"/>
        </w:rPr>
        <w:t>〔202</w:t>
      </w:r>
      <w:r>
        <w:rPr>
          <w:rFonts w:hint="eastAsia" w:ascii="楷体_GB2312" w:hAnsi="Times New Roman" w:eastAsia="楷体_GB2312" w:cs="楷体_GB2312"/>
          <w:sz w:val="32"/>
          <w:szCs w:val="32"/>
          <w:lang w:val="en-US" w:eastAsia="zh-CN"/>
        </w:rPr>
        <w:t>6</w:t>
      </w:r>
      <w:r>
        <w:rPr>
          <w:rFonts w:hint="eastAsia" w:ascii="楷体_GB2312" w:hAnsi="Times New Roman" w:eastAsia="楷体_GB2312" w:cs="楷体_GB2312"/>
          <w:sz w:val="32"/>
          <w:szCs w:val="32"/>
        </w:rPr>
        <w:t>〕闽漳狱减字第</w:t>
      </w:r>
      <w:r>
        <w:rPr>
          <w:rFonts w:hint="eastAsia" w:ascii="楷体_GB2312" w:hAnsi="Times New Roman" w:eastAsia="楷体_GB2312" w:cs="楷体_GB2312"/>
          <w:sz w:val="32"/>
          <w:szCs w:val="32"/>
          <w:lang w:val="en-US" w:eastAsia="zh-CN"/>
        </w:rPr>
        <w:t>73</w:t>
      </w:r>
      <w:r>
        <w:rPr>
          <w:rFonts w:hint="eastAsia" w:ascii="楷体_GB2312" w:hAnsi="Times New Roman" w:eastAsia="楷体_GB2312" w:cs="楷体_GB2312"/>
          <w:sz w:val="32"/>
          <w:szCs w:val="32"/>
        </w:rPr>
        <w:t>号</w:t>
      </w:r>
    </w:p>
    <w:p>
      <w:pPr>
        <w:keepNext w:val="0"/>
        <w:keepLines w:val="0"/>
        <w:pageBreakBefore w:val="0"/>
        <w:widowControl w:val="0"/>
        <w:kinsoku/>
        <w:wordWrap/>
        <w:overflowPunct/>
        <w:topLinePunct w:val="0"/>
        <w:autoSpaceDE/>
        <w:autoSpaceDN/>
        <w:bidi w:val="0"/>
        <w:adjustRightInd/>
        <w:snapToGrid/>
        <w:spacing w:line="420" w:lineRule="exact"/>
        <w:ind w:firstLine="707" w:firstLineChars="221"/>
        <w:jc w:val="left"/>
        <w:textAlignment w:val="auto"/>
        <w:rPr>
          <w:rFonts w:ascii="仿宋_GB2312" w:hAnsi="Times New Roman" w:eastAsia="仿宋_GB2312" w:cs="楷体_GB2312"/>
          <w:sz w:val="32"/>
          <w:szCs w:val="32"/>
        </w:rPr>
      </w:pPr>
      <w:r>
        <w:rPr>
          <w:rFonts w:ascii="仿宋_GB2312" w:hAnsi="Times New Roman" w:eastAsia="仿宋_GB2312" w:cs="楷体_GB2312"/>
          <w:sz w:val="32"/>
          <w:szCs w:val="32"/>
        </w:rPr>
        <w:t>罪犯</w:t>
      </w:r>
      <w:r>
        <w:rPr>
          <w:rFonts w:hint="eastAsia" w:ascii="仿宋_GB2312" w:hAnsi="Times New Roman" w:eastAsia="仿宋_GB2312" w:cs="楷体_GB2312"/>
          <w:sz w:val="32"/>
          <w:szCs w:val="32"/>
        </w:rPr>
        <w:t>李永耀</w:t>
      </w:r>
      <w:r>
        <w:rPr>
          <w:rFonts w:ascii="仿宋_GB2312" w:hAnsi="Times New Roman" w:eastAsia="仿宋_GB2312" w:cs="楷体_GB2312"/>
          <w:sz w:val="32"/>
          <w:szCs w:val="32"/>
        </w:rPr>
        <w:t>，</w:t>
      </w:r>
      <w:r>
        <w:rPr>
          <w:rFonts w:hint="eastAsia" w:ascii="仿宋_GB2312" w:hAnsi="Times New Roman" w:eastAsia="仿宋_GB2312" w:cs="楷体_GB2312"/>
          <w:sz w:val="32"/>
          <w:szCs w:val="32"/>
        </w:rPr>
        <w:t>男，1989年11月13日出生，</w:t>
      </w:r>
      <w:r>
        <w:rPr>
          <w:rFonts w:ascii="仿宋_GB2312" w:hAnsi="Times New Roman" w:eastAsia="仿宋_GB2312" w:cs="楷体_GB2312"/>
          <w:sz w:val="32"/>
          <w:szCs w:val="32"/>
        </w:rPr>
        <w:t>汉族,</w:t>
      </w:r>
      <w:r>
        <w:rPr>
          <w:rFonts w:hint="eastAsia" w:ascii="仿宋_GB2312" w:hAnsi="Times New Roman" w:eastAsia="仿宋_GB2312" w:cs="楷体_GB2312"/>
          <w:sz w:val="32"/>
          <w:szCs w:val="32"/>
        </w:rPr>
        <w:t>高中文化，</w:t>
      </w:r>
      <w:r>
        <w:rPr>
          <w:rFonts w:ascii="仿宋_GB2312" w:hAnsi="Times New Roman" w:eastAsia="仿宋_GB2312" w:cs="楷体_GB2312"/>
          <w:sz w:val="32"/>
          <w:szCs w:val="32"/>
        </w:rPr>
        <w:t>户籍所在地</w:t>
      </w:r>
      <w:r>
        <w:rPr>
          <w:rFonts w:hint="eastAsia" w:ascii="仿宋_GB2312" w:hAnsi="Times New Roman" w:eastAsia="仿宋_GB2312" w:cs="楷体_GB2312"/>
          <w:sz w:val="32"/>
          <w:szCs w:val="32"/>
        </w:rPr>
        <w:t>福建省仙游县</w:t>
      </w:r>
      <w:bookmarkStart w:id="0" w:name="_GoBack"/>
      <w:bookmarkEnd w:id="0"/>
      <w:r>
        <w:rPr>
          <w:rFonts w:ascii="仿宋_GB2312" w:hAnsi="Times New Roman" w:eastAsia="仿宋_GB2312" w:cs="楷体_GB2312"/>
          <w:sz w:val="32"/>
          <w:szCs w:val="32"/>
        </w:rPr>
        <w:t>，捕前系</w:t>
      </w:r>
      <w:r>
        <w:rPr>
          <w:rFonts w:hint="eastAsia" w:ascii="仿宋_GB2312" w:hAnsi="Times New Roman" w:eastAsia="仿宋_GB2312" w:cs="楷体_GB2312"/>
          <w:sz w:val="32"/>
          <w:szCs w:val="32"/>
        </w:rPr>
        <w:t>农民。</w:t>
      </w:r>
    </w:p>
    <w:p>
      <w:pPr>
        <w:keepNext w:val="0"/>
        <w:keepLines w:val="0"/>
        <w:pageBreakBefore w:val="0"/>
        <w:widowControl w:val="0"/>
        <w:kinsoku/>
        <w:wordWrap/>
        <w:overflowPunct/>
        <w:topLinePunct w:val="0"/>
        <w:autoSpaceDE/>
        <w:autoSpaceDN/>
        <w:bidi w:val="0"/>
        <w:adjustRightInd/>
        <w:snapToGrid/>
        <w:spacing w:line="420" w:lineRule="exact"/>
        <w:ind w:firstLine="707" w:firstLineChars="221"/>
        <w:jc w:val="left"/>
        <w:textAlignment w:val="auto"/>
        <w:rPr>
          <w:rFonts w:ascii="仿宋_GB2312" w:hAnsi="Times New Roman" w:eastAsia="仿宋_GB2312" w:cs="楷体_GB2312"/>
          <w:sz w:val="32"/>
          <w:szCs w:val="32"/>
        </w:rPr>
      </w:pPr>
      <w:r>
        <w:rPr>
          <w:rFonts w:hint="eastAsia" w:ascii="仿宋_GB2312" w:hAnsi="Times New Roman" w:eastAsia="仿宋_GB2312" w:cs="楷体_GB2312"/>
          <w:sz w:val="32"/>
          <w:szCs w:val="32"/>
        </w:rPr>
        <w:t>福建省莆田市中级</w:t>
      </w:r>
      <w:r>
        <w:rPr>
          <w:rFonts w:ascii="仿宋_GB2312" w:hAnsi="Times New Roman" w:eastAsia="仿宋_GB2312" w:cs="楷体_GB2312"/>
          <w:sz w:val="32"/>
          <w:szCs w:val="32"/>
        </w:rPr>
        <w:t>人民法院于20</w:t>
      </w:r>
      <w:r>
        <w:rPr>
          <w:rFonts w:hint="eastAsia" w:ascii="仿宋_GB2312" w:hAnsi="Times New Roman" w:eastAsia="仿宋_GB2312" w:cs="楷体_GB2312"/>
          <w:sz w:val="32"/>
          <w:szCs w:val="32"/>
        </w:rPr>
        <w:t>12</w:t>
      </w:r>
      <w:r>
        <w:rPr>
          <w:rFonts w:ascii="仿宋_GB2312" w:hAnsi="Times New Roman" w:eastAsia="仿宋_GB2312" w:cs="楷体_GB2312"/>
          <w:sz w:val="32"/>
          <w:szCs w:val="32"/>
        </w:rPr>
        <w:t>年</w:t>
      </w:r>
      <w:r>
        <w:rPr>
          <w:rFonts w:hint="eastAsia" w:ascii="仿宋_GB2312" w:hAnsi="Times New Roman" w:eastAsia="仿宋_GB2312" w:cs="楷体_GB2312"/>
          <w:sz w:val="32"/>
          <w:szCs w:val="32"/>
        </w:rPr>
        <w:t>11</w:t>
      </w:r>
      <w:r>
        <w:rPr>
          <w:rFonts w:ascii="仿宋_GB2312" w:hAnsi="Times New Roman" w:eastAsia="仿宋_GB2312" w:cs="楷体_GB2312"/>
          <w:sz w:val="32"/>
          <w:szCs w:val="32"/>
        </w:rPr>
        <w:t>月</w:t>
      </w:r>
      <w:r>
        <w:rPr>
          <w:rFonts w:hint="eastAsia" w:ascii="仿宋_GB2312" w:hAnsi="Times New Roman" w:eastAsia="仿宋_GB2312" w:cs="楷体_GB2312"/>
          <w:sz w:val="32"/>
          <w:szCs w:val="32"/>
        </w:rPr>
        <w:t>20</w:t>
      </w:r>
      <w:r>
        <w:rPr>
          <w:rFonts w:ascii="仿宋_GB2312" w:hAnsi="Times New Roman" w:eastAsia="仿宋_GB2312" w:cs="楷体_GB2312"/>
          <w:sz w:val="32"/>
          <w:szCs w:val="32"/>
        </w:rPr>
        <w:t>日作出(201</w:t>
      </w:r>
      <w:r>
        <w:rPr>
          <w:rFonts w:hint="eastAsia" w:ascii="仿宋_GB2312" w:hAnsi="Times New Roman" w:eastAsia="仿宋_GB2312" w:cs="楷体_GB2312"/>
          <w:sz w:val="32"/>
          <w:szCs w:val="32"/>
        </w:rPr>
        <w:t>2</w:t>
      </w:r>
      <w:r>
        <w:rPr>
          <w:rFonts w:ascii="仿宋_GB2312" w:hAnsi="Times New Roman" w:eastAsia="仿宋_GB2312" w:cs="楷体_GB2312"/>
          <w:sz w:val="32"/>
          <w:szCs w:val="32"/>
        </w:rPr>
        <w:t>)</w:t>
      </w:r>
      <w:r>
        <w:rPr>
          <w:rFonts w:hint="eastAsia" w:ascii="仿宋_GB2312" w:hAnsi="Times New Roman" w:eastAsia="仿宋_GB2312" w:cs="楷体_GB2312"/>
          <w:sz w:val="32"/>
          <w:szCs w:val="32"/>
        </w:rPr>
        <w:t>莆刑初字第57</w:t>
      </w:r>
      <w:r>
        <w:rPr>
          <w:rFonts w:ascii="仿宋_GB2312" w:hAnsi="Times New Roman" w:eastAsia="仿宋_GB2312" w:cs="楷体_GB2312"/>
          <w:sz w:val="32"/>
          <w:szCs w:val="32"/>
        </w:rPr>
        <w:t>号刑事</w:t>
      </w:r>
      <w:r>
        <w:rPr>
          <w:rFonts w:hint="eastAsia" w:ascii="仿宋_GB2312" w:hAnsi="Times New Roman" w:eastAsia="仿宋_GB2312" w:cs="楷体_GB2312"/>
          <w:sz w:val="32"/>
          <w:szCs w:val="32"/>
        </w:rPr>
        <w:t>附带民事</w:t>
      </w:r>
      <w:r>
        <w:rPr>
          <w:rFonts w:ascii="仿宋_GB2312" w:hAnsi="Times New Roman" w:eastAsia="仿宋_GB2312" w:cs="楷体_GB2312"/>
          <w:sz w:val="32"/>
          <w:szCs w:val="32"/>
        </w:rPr>
        <w:t>判决，以被告人</w:t>
      </w:r>
      <w:r>
        <w:rPr>
          <w:rFonts w:hint="eastAsia" w:ascii="仿宋_GB2312" w:hAnsi="Times New Roman" w:eastAsia="仿宋_GB2312" w:cs="楷体_GB2312"/>
          <w:sz w:val="32"/>
          <w:szCs w:val="32"/>
        </w:rPr>
        <w:t>李永耀</w:t>
      </w:r>
      <w:r>
        <w:rPr>
          <w:rFonts w:ascii="仿宋_GB2312" w:hAnsi="Times New Roman" w:eastAsia="仿宋_GB2312" w:cs="楷体_GB2312"/>
          <w:sz w:val="32"/>
          <w:szCs w:val="32"/>
        </w:rPr>
        <w:t>犯</w:t>
      </w:r>
      <w:r>
        <w:rPr>
          <w:rFonts w:hint="eastAsia" w:ascii="仿宋_GB2312" w:hAnsi="Times New Roman" w:eastAsia="仿宋_GB2312" w:cs="楷体_GB2312"/>
          <w:sz w:val="32"/>
          <w:szCs w:val="32"/>
        </w:rPr>
        <w:t>绑架罪,判处无期徒刑,剥夺政治权利终身，并处没收个人全部财产，个人民事赔偿人民币50266.6元，并对民事赔偿总额人民币201066.5元承担连带责任。</w:t>
      </w:r>
      <w:r>
        <w:rPr>
          <w:rFonts w:ascii="仿宋_GB2312" w:hAnsi="Times New Roman" w:eastAsia="仿宋_GB2312" w:cs="楷体_GB2312"/>
          <w:sz w:val="32"/>
          <w:szCs w:val="32"/>
        </w:rPr>
        <w:t>宣判后，该犯不服，提出上诉。</w:t>
      </w:r>
      <w:r>
        <w:rPr>
          <w:rFonts w:hint="eastAsia" w:ascii="仿宋_GB2312" w:hAnsi="Times New Roman" w:eastAsia="仿宋_GB2312" w:cs="楷体_GB2312"/>
          <w:sz w:val="32"/>
          <w:szCs w:val="32"/>
        </w:rPr>
        <w:t>福建省高级人民</w:t>
      </w:r>
      <w:r>
        <w:rPr>
          <w:rFonts w:ascii="仿宋_GB2312" w:hAnsi="Times New Roman" w:eastAsia="仿宋_GB2312" w:cs="楷体_GB2312"/>
          <w:sz w:val="32"/>
          <w:szCs w:val="32"/>
        </w:rPr>
        <w:t>法院于</w:t>
      </w:r>
      <w:r>
        <w:rPr>
          <w:rFonts w:hint="eastAsia" w:ascii="仿宋_GB2312" w:hAnsi="Times New Roman" w:eastAsia="仿宋_GB2312" w:cs="楷体_GB2312"/>
          <w:sz w:val="32"/>
          <w:szCs w:val="32"/>
        </w:rPr>
        <w:t>2013</w:t>
      </w:r>
      <w:r>
        <w:rPr>
          <w:rFonts w:ascii="仿宋_GB2312" w:hAnsi="Times New Roman" w:eastAsia="仿宋_GB2312" w:cs="楷体_GB2312"/>
          <w:sz w:val="32"/>
          <w:szCs w:val="32"/>
        </w:rPr>
        <w:t>年</w:t>
      </w:r>
      <w:r>
        <w:rPr>
          <w:rFonts w:hint="eastAsia" w:ascii="仿宋_GB2312" w:hAnsi="Times New Roman" w:eastAsia="仿宋_GB2312" w:cs="楷体_GB2312"/>
          <w:sz w:val="32"/>
          <w:szCs w:val="32"/>
        </w:rPr>
        <w:t>5</w:t>
      </w:r>
      <w:r>
        <w:rPr>
          <w:rFonts w:ascii="仿宋_GB2312" w:hAnsi="Times New Roman" w:eastAsia="仿宋_GB2312" w:cs="楷体_GB2312"/>
          <w:sz w:val="32"/>
          <w:szCs w:val="32"/>
        </w:rPr>
        <w:t>月</w:t>
      </w:r>
      <w:r>
        <w:rPr>
          <w:rFonts w:hint="eastAsia" w:ascii="仿宋_GB2312" w:hAnsi="Times New Roman" w:eastAsia="仿宋_GB2312" w:cs="楷体_GB2312"/>
          <w:sz w:val="32"/>
          <w:szCs w:val="32"/>
        </w:rPr>
        <w:t>11</w:t>
      </w:r>
      <w:r>
        <w:rPr>
          <w:rFonts w:ascii="仿宋_GB2312" w:hAnsi="Times New Roman" w:eastAsia="仿宋_GB2312" w:cs="楷体_GB2312"/>
          <w:sz w:val="32"/>
          <w:szCs w:val="32"/>
        </w:rPr>
        <w:t>日作出(201</w:t>
      </w:r>
      <w:r>
        <w:rPr>
          <w:rFonts w:hint="eastAsia" w:ascii="仿宋_GB2312" w:hAnsi="Times New Roman" w:eastAsia="仿宋_GB2312" w:cs="楷体_GB2312"/>
          <w:sz w:val="32"/>
          <w:szCs w:val="32"/>
        </w:rPr>
        <w:t>3)闽刑终字第42</w:t>
      </w:r>
      <w:r>
        <w:rPr>
          <w:rFonts w:ascii="仿宋_GB2312" w:hAnsi="Times New Roman" w:eastAsia="仿宋_GB2312" w:cs="楷体_GB2312"/>
          <w:sz w:val="32"/>
          <w:szCs w:val="32"/>
        </w:rPr>
        <w:t>号刑事</w:t>
      </w:r>
      <w:r>
        <w:rPr>
          <w:rFonts w:hint="eastAsia" w:ascii="仿宋_GB2312" w:hAnsi="Times New Roman" w:eastAsia="仿宋_GB2312" w:cs="楷体_GB2312"/>
          <w:sz w:val="32"/>
          <w:szCs w:val="32"/>
        </w:rPr>
        <w:t>裁定</w:t>
      </w:r>
      <w:r>
        <w:rPr>
          <w:rFonts w:ascii="仿宋_GB2312" w:hAnsi="Times New Roman" w:eastAsia="仿宋_GB2312" w:cs="楷体_GB2312"/>
          <w:sz w:val="32"/>
          <w:szCs w:val="32"/>
        </w:rPr>
        <w:t>，</w:t>
      </w:r>
      <w:r>
        <w:rPr>
          <w:rFonts w:hint="eastAsia" w:ascii="仿宋_GB2312" w:hAnsi="Times New Roman" w:eastAsia="仿宋_GB2312" w:cs="楷体_GB2312"/>
          <w:sz w:val="32"/>
          <w:szCs w:val="32"/>
        </w:rPr>
        <w:t>驳回上诉，维持原判</w:t>
      </w:r>
      <w:r>
        <w:rPr>
          <w:rFonts w:ascii="仿宋_GB2312" w:hAnsi="Times New Roman" w:eastAsia="仿宋_GB2312" w:cs="楷体_GB2312"/>
          <w:sz w:val="32"/>
          <w:szCs w:val="32"/>
        </w:rPr>
        <w:t>。</w:t>
      </w:r>
      <w:r>
        <w:rPr>
          <w:rFonts w:hint="eastAsia" w:ascii="仿宋_GB2312" w:hAnsi="Times New Roman" w:eastAsia="仿宋_GB2312" w:cs="楷体_GB2312"/>
          <w:sz w:val="32"/>
          <w:szCs w:val="32"/>
        </w:rPr>
        <w:t>刑期自2013年5月28日起。2014年1月22日交付福建省漳州监狱执行刑罚</w:t>
      </w:r>
      <w:r>
        <w:rPr>
          <w:rFonts w:ascii="仿宋_GB2312" w:hAnsi="Times New Roman" w:eastAsia="仿宋_GB2312" w:cs="楷体_GB2312"/>
          <w:sz w:val="32"/>
          <w:szCs w:val="32"/>
        </w:rPr>
        <w:t>。20</w:t>
      </w:r>
      <w:r>
        <w:rPr>
          <w:rFonts w:hint="eastAsia" w:ascii="仿宋_GB2312" w:hAnsi="Times New Roman" w:eastAsia="仿宋_GB2312" w:cs="楷体_GB2312"/>
          <w:sz w:val="32"/>
          <w:szCs w:val="32"/>
        </w:rPr>
        <w:t>16</w:t>
      </w:r>
      <w:r>
        <w:rPr>
          <w:rFonts w:ascii="仿宋_GB2312" w:hAnsi="Times New Roman" w:eastAsia="仿宋_GB2312" w:cs="楷体_GB2312"/>
          <w:sz w:val="32"/>
          <w:szCs w:val="32"/>
        </w:rPr>
        <w:t>年</w:t>
      </w:r>
      <w:r>
        <w:rPr>
          <w:rFonts w:hint="eastAsia" w:ascii="仿宋_GB2312" w:hAnsi="Times New Roman" w:eastAsia="仿宋_GB2312" w:cs="楷体_GB2312"/>
          <w:sz w:val="32"/>
          <w:szCs w:val="32"/>
        </w:rPr>
        <w:t>10</w:t>
      </w:r>
      <w:r>
        <w:rPr>
          <w:rFonts w:ascii="仿宋_GB2312" w:hAnsi="Times New Roman" w:eastAsia="仿宋_GB2312" w:cs="楷体_GB2312"/>
          <w:sz w:val="32"/>
          <w:szCs w:val="32"/>
        </w:rPr>
        <w:t>月</w:t>
      </w:r>
      <w:r>
        <w:rPr>
          <w:rFonts w:hint="eastAsia" w:ascii="仿宋_GB2312" w:hAnsi="Times New Roman" w:eastAsia="仿宋_GB2312" w:cs="楷体_GB2312"/>
          <w:sz w:val="32"/>
          <w:szCs w:val="32"/>
        </w:rPr>
        <w:t>25</w:t>
      </w:r>
      <w:r>
        <w:rPr>
          <w:rFonts w:ascii="仿宋_GB2312" w:hAnsi="Times New Roman" w:eastAsia="仿宋_GB2312" w:cs="楷体_GB2312"/>
          <w:sz w:val="32"/>
          <w:szCs w:val="32"/>
        </w:rPr>
        <w:t>日</w:t>
      </w:r>
      <w:r>
        <w:rPr>
          <w:rFonts w:hint="eastAsia" w:ascii="仿宋_GB2312" w:hAnsi="Times New Roman" w:eastAsia="仿宋_GB2312" w:cs="楷体_GB2312"/>
          <w:sz w:val="32"/>
          <w:szCs w:val="32"/>
        </w:rPr>
        <w:t>，福建省高级</w:t>
      </w:r>
      <w:r>
        <w:rPr>
          <w:rFonts w:ascii="仿宋_GB2312" w:hAnsi="Times New Roman" w:eastAsia="仿宋_GB2312" w:cs="楷体_GB2312"/>
          <w:sz w:val="32"/>
          <w:szCs w:val="32"/>
        </w:rPr>
        <w:t>人民法院</w:t>
      </w:r>
      <w:r>
        <w:rPr>
          <w:rFonts w:hint="eastAsia" w:ascii="仿宋_GB2312" w:hAnsi="Times New Roman" w:eastAsia="仿宋_GB2312" w:cs="楷体_GB2312"/>
          <w:sz w:val="32"/>
          <w:szCs w:val="32"/>
        </w:rPr>
        <w:t>作出</w:t>
      </w:r>
      <w:r>
        <w:rPr>
          <w:rFonts w:ascii="仿宋_GB2312" w:hAnsi="Times New Roman" w:eastAsia="仿宋_GB2312" w:cs="楷体_GB2312"/>
          <w:sz w:val="32"/>
          <w:szCs w:val="32"/>
        </w:rPr>
        <w:t>（20</w:t>
      </w:r>
      <w:r>
        <w:rPr>
          <w:rFonts w:hint="eastAsia" w:ascii="仿宋_GB2312" w:hAnsi="Times New Roman" w:eastAsia="仿宋_GB2312" w:cs="楷体_GB2312"/>
          <w:sz w:val="32"/>
          <w:szCs w:val="32"/>
        </w:rPr>
        <w:t>16</w:t>
      </w:r>
      <w:r>
        <w:rPr>
          <w:rFonts w:ascii="仿宋_GB2312" w:hAnsi="Times New Roman" w:eastAsia="仿宋_GB2312" w:cs="楷体_GB2312"/>
          <w:sz w:val="32"/>
          <w:szCs w:val="32"/>
        </w:rPr>
        <w:t>）</w:t>
      </w:r>
      <w:r>
        <w:rPr>
          <w:rFonts w:hint="eastAsia" w:ascii="仿宋_GB2312" w:hAnsi="Times New Roman" w:eastAsia="仿宋_GB2312" w:cs="楷体_GB2312"/>
          <w:sz w:val="32"/>
          <w:szCs w:val="32"/>
        </w:rPr>
        <w:t>闽</w:t>
      </w:r>
      <w:r>
        <w:rPr>
          <w:rFonts w:ascii="仿宋_GB2312" w:hAnsi="Times New Roman" w:eastAsia="仿宋_GB2312" w:cs="楷体_GB2312"/>
          <w:sz w:val="32"/>
          <w:szCs w:val="32"/>
        </w:rPr>
        <w:t>刑更</w:t>
      </w:r>
      <w:r>
        <w:rPr>
          <w:rFonts w:hint="eastAsia" w:ascii="仿宋_GB2312" w:hAnsi="Times New Roman" w:eastAsia="仿宋_GB2312" w:cs="楷体_GB2312"/>
          <w:sz w:val="32"/>
          <w:szCs w:val="32"/>
        </w:rPr>
        <w:t>722</w:t>
      </w:r>
      <w:r>
        <w:rPr>
          <w:rFonts w:ascii="仿宋_GB2312" w:hAnsi="Times New Roman" w:eastAsia="仿宋_GB2312" w:cs="楷体_GB2312"/>
          <w:sz w:val="32"/>
          <w:szCs w:val="32"/>
        </w:rPr>
        <w:t>号刑事裁定，</w:t>
      </w:r>
      <w:r>
        <w:rPr>
          <w:rFonts w:hint="eastAsia" w:ascii="仿宋_GB2312" w:hAnsi="Times New Roman" w:eastAsia="仿宋_GB2312" w:cs="楷体_GB2312"/>
          <w:sz w:val="32"/>
          <w:szCs w:val="32"/>
        </w:rPr>
        <w:t>将该犯的刑罚减为有期徒刑二十年八个月，剥夺政治权利改为九年,刑期2016年10月25日起至2037年6月24日止；2019年3月25日，福建省漳州市中级人民法院作出（2019）闽06刑更269号刑事裁定，对其减刑五个月十五天，剥夺政治权利九年不变；2021年11月25日，福建省漳州市中级人民法院作出（2021）闽06刑更571号刑事裁定，对其减刑六个月，剥夺政治权利九年不变</w:t>
      </w:r>
      <w:r>
        <w:rPr>
          <w:rFonts w:hint="eastAsia" w:ascii="仿宋_GB2312" w:hAnsi="Times New Roman" w:eastAsia="仿宋_GB2312" w:cs="楷体_GB2312"/>
          <w:sz w:val="32"/>
          <w:szCs w:val="32"/>
          <w:lang w:eastAsia="zh-CN"/>
        </w:rPr>
        <w:t>，并于</w:t>
      </w:r>
      <w:r>
        <w:rPr>
          <w:rFonts w:hint="eastAsia" w:ascii="仿宋_GB2312" w:hAnsi="Times New Roman" w:eastAsia="仿宋_GB2312" w:cs="楷体_GB2312"/>
          <w:sz w:val="32"/>
          <w:szCs w:val="32"/>
          <w:lang w:val="en-US" w:eastAsia="zh-CN"/>
        </w:rPr>
        <w:t>2021年11月26日送达</w:t>
      </w:r>
      <w:r>
        <w:rPr>
          <w:rFonts w:hint="eastAsia" w:ascii="仿宋_GB2312" w:hAnsi="Times New Roman" w:eastAsia="仿宋_GB2312" w:cs="楷体_GB2312"/>
          <w:sz w:val="32"/>
          <w:szCs w:val="32"/>
        </w:rPr>
        <w:t>；2024年5月27日，福建省漳州市中级人民法院作出（2024）闽06刑更464号刑事裁定，对其减刑八个月，剥夺政治权利九年不变；2024年8月28日，福建省漳州市中级人民法院作出（2024）闽06刑更1号刑事裁定，撤销（2024）闽06刑更464号刑事裁定，</w:t>
      </w:r>
      <w:r>
        <w:rPr>
          <w:rFonts w:ascii="仿宋_GB2312" w:hAnsi="Times New Roman" w:eastAsia="仿宋_GB2312" w:cs="楷体_GB2312"/>
          <w:sz w:val="32"/>
          <w:szCs w:val="32"/>
        </w:rPr>
        <w:t>202</w:t>
      </w:r>
      <w:r>
        <w:rPr>
          <w:rFonts w:hint="eastAsia" w:ascii="仿宋_GB2312" w:hAnsi="Times New Roman" w:eastAsia="仿宋_GB2312" w:cs="楷体_GB2312"/>
          <w:sz w:val="32"/>
          <w:szCs w:val="32"/>
        </w:rPr>
        <w:t>4</w:t>
      </w:r>
      <w:r>
        <w:rPr>
          <w:rFonts w:ascii="仿宋_GB2312" w:hAnsi="Times New Roman" w:eastAsia="仿宋_GB2312" w:cs="楷体_GB2312"/>
          <w:sz w:val="32"/>
          <w:szCs w:val="32"/>
        </w:rPr>
        <w:t>年</w:t>
      </w:r>
      <w:r>
        <w:rPr>
          <w:rFonts w:hint="eastAsia" w:ascii="仿宋_GB2312" w:hAnsi="Times New Roman" w:eastAsia="仿宋_GB2312" w:cs="楷体_GB2312"/>
          <w:sz w:val="32"/>
          <w:szCs w:val="32"/>
        </w:rPr>
        <w:t>9</w:t>
      </w:r>
      <w:r>
        <w:rPr>
          <w:rFonts w:ascii="仿宋_GB2312" w:hAnsi="Times New Roman" w:eastAsia="仿宋_GB2312" w:cs="楷体_GB2312"/>
          <w:sz w:val="32"/>
          <w:szCs w:val="32"/>
        </w:rPr>
        <w:t>月</w:t>
      </w:r>
      <w:r>
        <w:rPr>
          <w:rFonts w:hint="eastAsia" w:ascii="仿宋_GB2312" w:hAnsi="Times New Roman" w:eastAsia="仿宋_GB2312" w:cs="楷体_GB2312"/>
          <w:sz w:val="32"/>
          <w:szCs w:val="32"/>
        </w:rPr>
        <w:t>5</w:t>
      </w:r>
      <w:r>
        <w:rPr>
          <w:rFonts w:ascii="仿宋_GB2312" w:hAnsi="Times New Roman" w:eastAsia="仿宋_GB2312" w:cs="楷体_GB2312"/>
          <w:sz w:val="32"/>
          <w:szCs w:val="32"/>
        </w:rPr>
        <w:t>日送达。现刑期至20</w:t>
      </w:r>
      <w:r>
        <w:rPr>
          <w:rFonts w:hint="eastAsia" w:ascii="仿宋_GB2312" w:hAnsi="Times New Roman" w:eastAsia="仿宋_GB2312" w:cs="楷体_GB2312"/>
          <w:sz w:val="32"/>
          <w:szCs w:val="32"/>
        </w:rPr>
        <w:t>36</w:t>
      </w:r>
      <w:r>
        <w:rPr>
          <w:rFonts w:ascii="仿宋_GB2312" w:hAnsi="Times New Roman" w:eastAsia="仿宋_GB2312" w:cs="楷体_GB2312"/>
          <w:sz w:val="32"/>
          <w:szCs w:val="32"/>
        </w:rPr>
        <w:t>年</w:t>
      </w:r>
      <w:r>
        <w:rPr>
          <w:rFonts w:hint="eastAsia" w:ascii="仿宋_GB2312" w:hAnsi="Times New Roman" w:eastAsia="仿宋_GB2312" w:cs="楷体_GB2312"/>
          <w:sz w:val="32"/>
          <w:szCs w:val="32"/>
        </w:rPr>
        <w:t>7</w:t>
      </w:r>
      <w:r>
        <w:rPr>
          <w:rFonts w:ascii="仿宋_GB2312" w:hAnsi="Times New Roman" w:eastAsia="仿宋_GB2312" w:cs="楷体_GB2312"/>
          <w:sz w:val="32"/>
          <w:szCs w:val="32"/>
        </w:rPr>
        <w:t>月</w:t>
      </w:r>
      <w:r>
        <w:rPr>
          <w:rFonts w:hint="eastAsia" w:ascii="仿宋_GB2312" w:hAnsi="Times New Roman" w:eastAsia="仿宋_GB2312" w:cs="楷体_GB2312"/>
          <w:sz w:val="32"/>
          <w:szCs w:val="32"/>
        </w:rPr>
        <w:t>9</w:t>
      </w:r>
      <w:r>
        <w:rPr>
          <w:rFonts w:ascii="仿宋_GB2312" w:hAnsi="Times New Roman" w:eastAsia="仿宋_GB2312" w:cs="楷体_GB2312"/>
          <w:sz w:val="32"/>
          <w:szCs w:val="32"/>
        </w:rPr>
        <w:t>日。现属</w:t>
      </w:r>
      <w:r>
        <w:rPr>
          <w:rFonts w:hint="eastAsia" w:ascii="仿宋_GB2312" w:hAnsi="Times New Roman" w:eastAsia="仿宋_GB2312" w:cs="楷体_GB2312"/>
          <w:sz w:val="32"/>
          <w:szCs w:val="32"/>
        </w:rPr>
        <w:t>普管</w:t>
      </w:r>
      <w:r>
        <w:rPr>
          <w:rFonts w:ascii="仿宋_GB2312" w:hAnsi="Times New Roman" w:eastAsia="仿宋_GB2312" w:cs="楷体_GB2312"/>
          <w:sz w:val="32"/>
          <w:szCs w:val="32"/>
        </w:rPr>
        <w:t>级罪犯。</w:t>
      </w:r>
    </w:p>
    <w:p>
      <w:pPr>
        <w:keepNext w:val="0"/>
        <w:keepLines w:val="0"/>
        <w:pageBreakBefore w:val="0"/>
        <w:widowControl w:val="0"/>
        <w:kinsoku/>
        <w:wordWrap/>
        <w:overflowPunct/>
        <w:topLinePunct w:val="0"/>
        <w:autoSpaceDE/>
        <w:autoSpaceDN/>
        <w:bidi w:val="0"/>
        <w:adjustRightInd/>
        <w:snapToGrid/>
        <w:spacing w:line="420" w:lineRule="exact"/>
        <w:ind w:firstLine="707" w:firstLineChars="221"/>
        <w:jc w:val="left"/>
        <w:textAlignment w:val="auto"/>
        <w:rPr>
          <w:rFonts w:ascii="仿宋_GB2312" w:hAnsi="Times New Roman" w:eastAsia="仿宋_GB2312" w:cs="楷体_GB2312"/>
          <w:sz w:val="32"/>
          <w:szCs w:val="32"/>
        </w:rPr>
      </w:pPr>
      <w:r>
        <w:rPr>
          <w:rFonts w:ascii="仿宋_GB2312" w:hAnsi="Times New Roman" w:eastAsia="仿宋_GB2312" w:cs="楷体_GB2312"/>
          <w:sz w:val="32"/>
          <w:szCs w:val="32"/>
        </w:rPr>
        <w:t>该犯自上次减刑以来</w:t>
      </w:r>
      <w:r>
        <w:rPr>
          <w:rFonts w:hint="eastAsia" w:ascii="仿宋_GB2312" w:hAnsi="Times New Roman" w:eastAsia="仿宋_GB2312" w:cs="楷体_GB2312"/>
          <w:sz w:val="32"/>
          <w:szCs w:val="32"/>
        </w:rPr>
        <w:t>确有悔改表现，具体事实如下：</w:t>
      </w:r>
    </w:p>
    <w:p>
      <w:pPr>
        <w:keepNext w:val="0"/>
        <w:keepLines w:val="0"/>
        <w:pageBreakBefore w:val="0"/>
        <w:widowControl w:val="0"/>
        <w:kinsoku/>
        <w:wordWrap/>
        <w:overflowPunct/>
        <w:topLinePunct w:val="0"/>
        <w:autoSpaceDE/>
        <w:autoSpaceDN/>
        <w:bidi w:val="0"/>
        <w:adjustRightInd/>
        <w:snapToGrid/>
        <w:spacing w:line="420" w:lineRule="exact"/>
        <w:ind w:firstLine="707" w:firstLineChars="221"/>
        <w:jc w:val="left"/>
        <w:textAlignment w:val="auto"/>
        <w:rPr>
          <w:rFonts w:ascii="仿宋_GB2312" w:hAnsi="Times New Roman" w:eastAsia="仿宋_GB2312" w:cs="楷体_GB2312"/>
          <w:iCs/>
          <w:sz w:val="32"/>
          <w:szCs w:val="32"/>
        </w:rPr>
      </w:pPr>
      <w:r>
        <w:rPr>
          <w:rFonts w:hint="eastAsia" w:ascii="仿宋_GB2312" w:hAnsi="Times New Roman" w:eastAsia="仿宋_GB2312" w:cs="楷体_GB2312"/>
          <w:iCs/>
          <w:sz w:val="32"/>
          <w:szCs w:val="32"/>
        </w:rPr>
        <w:t>认罪悔罪：能服从法院判决，自书认罪悔罪书。</w:t>
      </w:r>
    </w:p>
    <w:p>
      <w:pPr>
        <w:keepNext w:val="0"/>
        <w:keepLines w:val="0"/>
        <w:pageBreakBefore w:val="0"/>
        <w:widowControl w:val="0"/>
        <w:kinsoku/>
        <w:wordWrap/>
        <w:overflowPunct/>
        <w:topLinePunct w:val="0"/>
        <w:autoSpaceDE/>
        <w:autoSpaceDN/>
        <w:bidi w:val="0"/>
        <w:adjustRightInd/>
        <w:snapToGrid/>
        <w:spacing w:line="420" w:lineRule="exact"/>
        <w:ind w:firstLine="707" w:firstLineChars="221"/>
        <w:jc w:val="left"/>
        <w:textAlignment w:val="auto"/>
        <w:rPr>
          <w:rFonts w:ascii="仿宋_GB2312" w:hAnsi="Times New Roman" w:eastAsia="仿宋_GB2312" w:cs="楷体_GB2312"/>
          <w:sz w:val="32"/>
          <w:szCs w:val="32"/>
          <w:lang w:val="zh-CN"/>
        </w:rPr>
      </w:pPr>
      <w:r>
        <w:rPr>
          <w:rFonts w:hint="eastAsia" w:ascii="仿宋_GB2312" w:hAnsi="Times New Roman" w:eastAsia="仿宋_GB2312" w:cs="楷体_GB2312"/>
          <w:sz w:val="32"/>
          <w:szCs w:val="32"/>
        </w:rPr>
        <w:t>遵守监规</w:t>
      </w:r>
      <w:r>
        <w:rPr>
          <w:rFonts w:hint="eastAsia" w:ascii="仿宋_GB2312" w:hAnsi="Times New Roman" w:eastAsia="仿宋_GB2312" w:cs="楷体_GB2312"/>
          <w:sz w:val="32"/>
          <w:szCs w:val="32"/>
          <w:lang w:val="zh-CN"/>
        </w:rPr>
        <w:t>：</w:t>
      </w:r>
      <w:r>
        <w:rPr>
          <w:rFonts w:hint="eastAsia" w:ascii="仿宋_GB2312" w:hAnsi="Times New Roman" w:eastAsia="仿宋_GB2312" w:cs="楷体_GB2312"/>
          <w:sz w:val="32"/>
          <w:szCs w:val="32"/>
        </w:rPr>
        <w:t>该犯考核期内虽有违规，但经民警教育后，能认识到错误，有悔改表现，本次提请前能遵守法律法规及监规纪律，接受教育改造</w:t>
      </w:r>
      <w:r>
        <w:rPr>
          <w:rFonts w:hint="eastAsia" w:ascii="仿宋_GB2312" w:hAnsi="Times New Roman" w:eastAsia="仿宋_GB2312" w:cs="楷体_GB2312"/>
          <w:sz w:val="32"/>
          <w:szCs w:val="32"/>
          <w:lang w:val="zh-CN"/>
        </w:rPr>
        <w:t>。</w:t>
      </w:r>
    </w:p>
    <w:p>
      <w:pPr>
        <w:keepNext w:val="0"/>
        <w:keepLines w:val="0"/>
        <w:pageBreakBefore w:val="0"/>
        <w:widowControl w:val="0"/>
        <w:kinsoku/>
        <w:wordWrap/>
        <w:overflowPunct/>
        <w:topLinePunct w:val="0"/>
        <w:autoSpaceDE/>
        <w:autoSpaceDN/>
        <w:bidi w:val="0"/>
        <w:adjustRightInd/>
        <w:snapToGrid/>
        <w:spacing w:line="420" w:lineRule="exact"/>
        <w:ind w:firstLine="707" w:firstLineChars="221"/>
        <w:jc w:val="left"/>
        <w:textAlignment w:val="auto"/>
        <w:rPr>
          <w:rFonts w:ascii="仿宋_GB2312" w:hAnsi="Times New Roman" w:eastAsia="仿宋_GB2312" w:cs="楷体_GB2312"/>
          <w:sz w:val="32"/>
          <w:szCs w:val="32"/>
          <w:lang w:val="zh-CN"/>
        </w:rPr>
      </w:pPr>
      <w:r>
        <w:rPr>
          <w:rFonts w:hint="eastAsia" w:ascii="仿宋_GB2312" w:hAnsi="Times New Roman" w:eastAsia="仿宋_GB2312" w:cs="楷体_GB2312"/>
          <w:sz w:val="32"/>
          <w:szCs w:val="32"/>
          <w:lang w:val="zh-CN"/>
        </w:rPr>
        <w:t>学习情况：能参加</w:t>
      </w:r>
      <w:r>
        <w:rPr>
          <w:rFonts w:hint="eastAsia" w:ascii="仿宋_GB2312" w:hAnsi="Times New Roman" w:eastAsia="仿宋_GB2312" w:cs="楷体_GB2312"/>
          <w:sz w:val="32"/>
          <w:szCs w:val="32"/>
        </w:rPr>
        <w:t>思想、文化、职业技术教育</w:t>
      </w:r>
      <w:r>
        <w:rPr>
          <w:rFonts w:hint="eastAsia" w:ascii="仿宋_GB2312" w:hAnsi="Times New Roman" w:eastAsia="仿宋_GB2312" w:cs="楷体_GB2312"/>
          <w:sz w:val="32"/>
          <w:szCs w:val="32"/>
          <w:lang w:val="zh-CN"/>
        </w:rPr>
        <w:t>。</w:t>
      </w:r>
    </w:p>
    <w:p>
      <w:pPr>
        <w:keepNext w:val="0"/>
        <w:keepLines w:val="0"/>
        <w:pageBreakBefore w:val="0"/>
        <w:widowControl w:val="0"/>
        <w:kinsoku/>
        <w:wordWrap/>
        <w:overflowPunct/>
        <w:topLinePunct w:val="0"/>
        <w:autoSpaceDE/>
        <w:autoSpaceDN/>
        <w:bidi w:val="0"/>
        <w:adjustRightInd/>
        <w:snapToGrid/>
        <w:spacing w:line="420" w:lineRule="exact"/>
        <w:ind w:firstLine="707" w:firstLineChars="221"/>
        <w:jc w:val="left"/>
        <w:textAlignment w:val="auto"/>
        <w:rPr>
          <w:rFonts w:ascii="仿宋_GB2312" w:hAnsi="Times New Roman" w:eastAsia="仿宋_GB2312" w:cs="楷体_GB2312"/>
          <w:sz w:val="32"/>
          <w:szCs w:val="32"/>
          <w:lang w:val="zh-CN"/>
        </w:rPr>
      </w:pPr>
      <w:r>
        <w:rPr>
          <w:rFonts w:hint="eastAsia" w:ascii="仿宋_GB2312" w:hAnsi="Times New Roman" w:eastAsia="仿宋_GB2312" w:cs="楷体_GB2312"/>
          <w:sz w:val="32"/>
          <w:szCs w:val="32"/>
          <w:lang w:val="zh-CN"/>
        </w:rPr>
        <w:t>劳动改造：能参加劳动，努力完成</w:t>
      </w:r>
      <w:r>
        <w:rPr>
          <w:rFonts w:hint="eastAsia" w:ascii="仿宋_GB2312" w:hAnsi="Times New Roman" w:eastAsia="仿宋_GB2312" w:cs="楷体_GB2312"/>
          <w:sz w:val="32"/>
          <w:szCs w:val="32"/>
        </w:rPr>
        <w:t>劳动</w:t>
      </w:r>
      <w:r>
        <w:rPr>
          <w:rFonts w:hint="eastAsia" w:ascii="仿宋_GB2312" w:hAnsi="Times New Roman" w:eastAsia="仿宋_GB2312" w:cs="楷体_GB2312"/>
          <w:sz w:val="32"/>
          <w:szCs w:val="32"/>
          <w:lang w:val="zh-CN"/>
        </w:rPr>
        <w:t>任务。</w:t>
      </w:r>
    </w:p>
    <w:p>
      <w:pPr>
        <w:keepNext w:val="0"/>
        <w:keepLines w:val="0"/>
        <w:pageBreakBefore w:val="0"/>
        <w:widowControl w:val="0"/>
        <w:kinsoku/>
        <w:wordWrap/>
        <w:overflowPunct/>
        <w:topLinePunct w:val="0"/>
        <w:autoSpaceDE/>
        <w:autoSpaceDN/>
        <w:bidi w:val="0"/>
        <w:adjustRightInd/>
        <w:snapToGrid/>
        <w:spacing w:line="420" w:lineRule="exact"/>
        <w:ind w:firstLine="707" w:firstLineChars="221"/>
        <w:jc w:val="left"/>
        <w:textAlignment w:val="auto"/>
        <w:rPr>
          <w:rFonts w:ascii="仿宋_GB2312" w:hAnsi="Times New Roman" w:eastAsia="仿宋_GB2312" w:cs="楷体_GB2312"/>
          <w:sz w:val="32"/>
          <w:szCs w:val="32"/>
        </w:rPr>
      </w:pPr>
      <w:r>
        <w:rPr>
          <w:rFonts w:hint="eastAsia" w:ascii="仿宋_GB2312" w:hAnsi="Times New Roman" w:eastAsia="仿宋_GB2312" w:cs="楷体_GB2312"/>
          <w:sz w:val="32"/>
          <w:szCs w:val="32"/>
        </w:rPr>
        <w:t>奖惩情况：</w:t>
      </w:r>
      <w:r>
        <w:rPr>
          <w:rFonts w:ascii="仿宋_GB2312" w:hAnsi="Times New Roman" w:eastAsia="仿宋_GB2312" w:cs="楷体_GB2312"/>
          <w:sz w:val="32"/>
          <w:szCs w:val="32"/>
        </w:rPr>
        <w:t>该犯上次评定表扬剩余</w:t>
      </w:r>
      <w:r>
        <w:rPr>
          <w:rFonts w:hint="eastAsia" w:ascii="仿宋_GB2312" w:hAnsi="Times New Roman" w:eastAsia="仿宋_GB2312" w:cs="楷体_GB2312"/>
          <w:sz w:val="32"/>
          <w:szCs w:val="32"/>
        </w:rPr>
        <w:t>389.5</w:t>
      </w:r>
      <w:r>
        <w:rPr>
          <w:rFonts w:ascii="仿宋_GB2312" w:hAnsi="Times New Roman" w:eastAsia="仿宋_GB2312" w:cs="楷体_GB2312"/>
          <w:sz w:val="32"/>
          <w:szCs w:val="32"/>
        </w:rPr>
        <w:t>分,</w:t>
      </w:r>
      <w:r>
        <w:rPr>
          <w:rFonts w:hint="eastAsia" w:ascii="仿宋_GB2312" w:hAnsi="仿宋_GB2312" w:eastAsia="仿宋_GB2312" w:cs="仿宋_GB2312"/>
          <w:bCs/>
          <w:kern w:val="32"/>
          <w:sz w:val="32"/>
          <w:szCs w:val="32"/>
        </w:rPr>
        <w:t xml:space="preserve"> </w:t>
      </w:r>
      <w:r>
        <w:rPr>
          <w:rFonts w:hint="eastAsia" w:ascii="仿宋_GB2312" w:hAnsi="Times New Roman" w:eastAsia="仿宋_GB2312" w:cs="楷体_GB2312"/>
          <w:bCs/>
          <w:sz w:val="32"/>
          <w:szCs w:val="32"/>
        </w:rPr>
        <w:t>本轮考核期2021年8月至2025年11月</w:t>
      </w:r>
      <w:r>
        <w:rPr>
          <w:rFonts w:ascii="仿宋_GB2312" w:hAnsi="Times New Roman" w:eastAsia="仿宋_GB2312" w:cs="楷体_GB2312"/>
          <w:sz w:val="32"/>
          <w:szCs w:val="32"/>
        </w:rPr>
        <w:t>累计获</w:t>
      </w:r>
      <w:r>
        <w:rPr>
          <w:rFonts w:hint="eastAsia" w:ascii="仿宋_GB2312" w:hAnsi="Times New Roman" w:eastAsia="仿宋_GB2312" w:cs="楷体_GB2312"/>
          <w:sz w:val="32"/>
          <w:szCs w:val="32"/>
        </w:rPr>
        <w:t>得5505.4</w:t>
      </w:r>
      <w:r>
        <w:rPr>
          <w:rFonts w:ascii="仿宋_GB2312" w:hAnsi="Times New Roman" w:eastAsia="仿宋_GB2312" w:cs="楷体_GB2312"/>
          <w:sz w:val="32"/>
          <w:szCs w:val="32"/>
        </w:rPr>
        <w:t>分，合计获得</w:t>
      </w:r>
      <w:r>
        <w:rPr>
          <w:rFonts w:hint="eastAsia" w:ascii="仿宋_GB2312" w:hAnsi="Times New Roman" w:eastAsia="仿宋_GB2312" w:cs="楷体_GB2312"/>
          <w:sz w:val="32"/>
          <w:szCs w:val="32"/>
        </w:rPr>
        <w:t>5894.9</w:t>
      </w:r>
      <w:r>
        <w:rPr>
          <w:rFonts w:ascii="仿宋_GB2312" w:hAnsi="Times New Roman" w:eastAsia="仿宋_GB2312" w:cs="楷体_GB2312"/>
          <w:sz w:val="32"/>
          <w:szCs w:val="32"/>
        </w:rPr>
        <w:t>分，表扬</w:t>
      </w:r>
      <w:r>
        <w:rPr>
          <w:rFonts w:hint="eastAsia" w:ascii="仿宋_GB2312" w:hAnsi="Times New Roman" w:eastAsia="仿宋_GB2312" w:cs="楷体_GB2312"/>
          <w:sz w:val="32"/>
          <w:szCs w:val="32"/>
        </w:rPr>
        <w:t>8</w:t>
      </w:r>
      <w:r>
        <w:rPr>
          <w:rFonts w:ascii="仿宋_GB2312" w:hAnsi="Times New Roman" w:eastAsia="仿宋_GB2312" w:cs="楷体_GB2312"/>
          <w:sz w:val="32"/>
          <w:szCs w:val="32"/>
        </w:rPr>
        <w:t>次</w:t>
      </w:r>
      <w:r>
        <w:rPr>
          <w:rFonts w:hint="eastAsia" w:ascii="仿宋_GB2312" w:hAnsi="Times New Roman" w:eastAsia="仿宋_GB2312" w:cs="楷体_GB2312"/>
          <w:sz w:val="32"/>
          <w:szCs w:val="32"/>
        </w:rPr>
        <w:t>，物质奖励1次;</w:t>
      </w:r>
      <w:r>
        <w:rPr>
          <w:rFonts w:ascii="仿宋_GB2312" w:hAnsi="Times New Roman" w:eastAsia="仿宋_GB2312" w:cs="楷体_GB2312"/>
          <w:sz w:val="32"/>
          <w:szCs w:val="32"/>
        </w:rPr>
        <w:t>间隔期202</w:t>
      </w:r>
      <w:r>
        <w:rPr>
          <w:rFonts w:hint="eastAsia" w:ascii="仿宋_GB2312" w:hAnsi="Times New Roman" w:eastAsia="仿宋_GB2312" w:cs="楷体_GB2312"/>
          <w:sz w:val="32"/>
          <w:szCs w:val="32"/>
        </w:rPr>
        <w:t>1</w:t>
      </w:r>
      <w:r>
        <w:rPr>
          <w:rFonts w:ascii="仿宋_GB2312" w:hAnsi="Times New Roman" w:eastAsia="仿宋_GB2312" w:cs="楷体_GB2312"/>
          <w:sz w:val="32"/>
          <w:szCs w:val="32"/>
        </w:rPr>
        <w:t>年</w:t>
      </w:r>
      <w:r>
        <w:rPr>
          <w:rFonts w:hint="eastAsia" w:ascii="仿宋_GB2312" w:hAnsi="Times New Roman" w:eastAsia="仿宋_GB2312" w:cs="楷体_GB2312"/>
          <w:sz w:val="32"/>
          <w:szCs w:val="32"/>
        </w:rPr>
        <w:t>11</w:t>
      </w:r>
      <w:r>
        <w:rPr>
          <w:rFonts w:ascii="仿宋_GB2312" w:hAnsi="Times New Roman" w:eastAsia="仿宋_GB2312" w:cs="楷体_GB2312"/>
          <w:sz w:val="32"/>
          <w:szCs w:val="32"/>
        </w:rPr>
        <w:t>月</w:t>
      </w:r>
      <w:r>
        <w:rPr>
          <w:rFonts w:hint="eastAsia" w:ascii="仿宋_GB2312" w:hAnsi="Times New Roman" w:eastAsia="仿宋_GB2312" w:cs="楷体_GB2312"/>
          <w:sz w:val="32"/>
          <w:szCs w:val="32"/>
        </w:rPr>
        <w:t>26日</w:t>
      </w:r>
      <w:r>
        <w:rPr>
          <w:rFonts w:ascii="仿宋_GB2312" w:hAnsi="Times New Roman" w:eastAsia="仿宋_GB2312" w:cs="楷体_GB2312"/>
          <w:sz w:val="32"/>
          <w:szCs w:val="32"/>
        </w:rPr>
        <w:t>至202</w:t>
      </w:r>
      <w:r>
        <w:rPr>
          <w:rFonts w:hint="eastAsia" w:ascii="仿宋_GB2312" w:hAnsi="Times New Roman" w:eastAsia="仿宋_GB2312" w:cs="楷体_GB2312"/>
          <w:sz w:val="32"/>
          <w:szCs w:val="32"/>
        </w:rPr>
        <w:t>5</w:t>
      </w:r>
      <w:r>
        <w:rPr>
          <w:rFonts w:ascii="仿宋_GB2312" w:hAnsi="Times New Roman" w:eastAsia="仿宋_GB2312" w:cs="楷体_GB2312"/>
          <w:sz w:val="32"/>
          <w:szCs w:val="32"/>
        </w:rPr>
        <w:t>年</w:t>
      </w:r>
      <w:r>
        <w:rPr>
          <w:rFonts w:hint="eastAsia" w:ascii="仿宋_GB2312" w:hAnsi="Times New Roman" w:eastAsia="仿宋_GB2312" w:cs="楷体_GB2312"/>
          <w:sz w:val="32"/>
          <w:szCs w:val="32"/>
        </w:rPr>
        <w:t>11</w:t>
      </w:r>
      <w:r>
        <w:rPr>
          <w:rFonts w:ascii="仿宋_GB2312" w:hAnsi="Times New Roman" w:eastAsia="仿宋_GB2312" w:cs="楷体_GB2312"/>
          <w:sz w:val="32"/>
          <w:szCs w:val="32"/>
        </w:rPr>
        <w:t>月，获得</w:t>
      </w:r>
      <w:r>
        <w:rPr>
          <w:rFonts w:hint="eastAsia" w:ascii="仿宋_GB2312" w:hAnsi="Times New Roman" w:eastAsia="仿宋_GB2312" w:cs="楷体_GB2312"/>
          <w:sz w:val="32"/>
          <w:szCs w:val="32"/>
        </w:rPr>
        <w:t>5070.4</w:t>
      </w:r>
      <w:r>
        <w:rPr>
          <w:rFonts w:ascii="仿宋_GB2312" w:hAnsi="Times New Roman" w:eastAsia="仿宋_GB2312" w:cs="楷体_GB2312"/>
          <w:sz w:val="32"/>
          <w:szCs w:val="32"/>
        </w:rPr>
        <w:t>分</w:t>
      </w:r>
      <w:r>
        <w:rPr>
          <w:rFonts w:hint="eastAsia" w:ascii="仿宋_GB2312" w:hAnsi="Times New Roman" w:eastAsia="仿宋_GB2312" w:cs="楷体_GB2312"/>
          <w:sz w:val="32"/>
          <w:szCs w:val="32"/>
        </w:rPr>
        <w:t>，共违规扣分4次，累计扣36分，其中重大违规1次：2024年6月17日因发现罪犯李永耀存在违规向罪犯周超和借用狱内消费卡开账消费行为扣考核分30分处理。</w:t>
      </w:r>
      <w:r>
        <w:rPr>
          <w:rFonts w:ascii="仿宋_GB2312" w:hAnsi="Times New Roman" w:eastAsia="仿宋_GB2312" w:cs="楷体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420" w:lineRule="exact"/>
        <w:ind w:firstLine="707" w:firstLineChars="221"/>
        <w:jc w:val="left"/>
        <w:textAlignment w:val="auto"/>
        <w:rPr>
          <w:rFonts w:ascii="仿宋_GB2312" w:hAnsi="Times New Roman" w:eastAsia="仿宋_GB2312" w:cs="楷体_GB2312"/>
          <w:sz w:val="32"/>
          <w:szCs w:val="32"/>
        </w:rPr>
      </w:pPr>
      <w:r>
        <w:rPr>
          <w:rFonts w:hint="eastAsia" w:ascii="仿宋_GB2312" w:hAnsi="Times New Roman" w:eastAsia="仿宋_GB2312" w:cs="楷体_GB2312"/>
          <w:sz w:val="32"/>
          <w:szCs w:val="32"/>
        </w:rPr>
        <w:t>该犯已履行没收个人全部财产人民币2000元；个人民事赔偿人民币50266.6元，并对民事赔偿总额201066.5元承担连带责任,已履行完毕。该犯考核期月均消费人民币248.16元（不包括购买药品、报刊书籍等费用），账户可用余额人民币852.54元。2025年12月29日福建省莆田市中级人民法院财产性判项复函载明：未发现李永耀名下有可供执行的财产；截止2024年1月5日，本案附带民事诉讼义务人李永耀、黄春胜共履行人民币201073元，本案附带民事赔偿义务已全部履行完毕。</w:t>
      </w:r>
    </w:p>
    <w:p>
      <w:pPr>
        <w:keepNext w:val="0"/>
        <w:keepLines w:val="0"/>
        <w:pageBreakBefore w:val="0"/>
        <w:widowControl w:val="0"/>
        <w:kinsoku/>
        <w:wordWrap/>
        <w:overflowPunct/>
        <w:topLinePunct w:val="0"/>
        <w:autoSpaceDE/>
        <w:autoSpaceDN/>
        <w:bidi w:val="0"/>
        <w:adjustRightInd/>
        <w:snapToGrid/>
        <w:spacing w:line="420" w:lineRule="exact"/>
        <w:ind w:firstLine="707" w:firstLineChars="221"/>
        <w:jc w:val="left"/>
        <w:textAlignment w:val="auto"/>
        <w:rPr>
          <w:rFonts w:ascii="仿宋_GB2312" w:hAnsi="Times New Roman" w:eastAsia="仿宋_GB2312" w:cs="楷体_GB2312"/>
          <w:sz w:val="32"/>
          <w:szCs w:val="32"/>
        </w:rPr>
      </w:pPr>
      <w:r>
        <w:rPr>
          <w:rFonts w:hint="eastAsia" w:ascii="仿宋_GB2312" w:hAnsi="Times New Roman" w:eastAsia="仿宋_GB2312" w:cs="楷体_GB2312"/>
          <w:sz w:val="32"/>
          <w:szCs w:val="32"/>
        </w:rPr>
        <w:t>该犯系</w:t>
      </w:r>
      <w:r>
        <w:rPr>
          <w:rFonts w:hint="eastAsia" w:ascii="仿宋_GB2312" w:eastAsia="仿宋_GB2312" w:cs="FangSong_GB2312-Identity-H"/>
          <w:bCs/>
          <w:color w:val="000000"/>
          <w:kern w:val="0"/>
          <w:sz w:val="32"/>
          <w:szCs w:val="32"/>
        </w:rPr>
        <w:t>因绑架罪被判处无期徒刑的罪犯</w:t>
      </w:r>
      <w:r>
        <w:rPr>
          <w:rFonts w:hint="eastAsia" w:ascii="仿宋_GB2312" w:hAnsi="Times New Roman" w:eastAsia="仿宋_GB2312" w:cs="楷体_GB2312"/>
          <w:sz w:val="32"/>
          <w:szCs w:val="32"/>
        </w:rPr>
        <w:t>，属于从严掌握减刑对象，因此提请减刑幅度扣减一个月。</w:t>
      </w:r>
    </w:p>
    <w:p>
      <w:pPr>
        <w:keepNext w:val="0"/>
        <w:keepLines w:val="0"/>
        <w:pageBreakBefore w:val="0"/>
        <w:widowControl w:val="0"/>
        <w:kinsoku/>
        <w:wordWrap/>
        <w:overflowPunct/>
        <w:topLinePunct w:val="0"/>
        <w:autoSpaceDE/>
        <w:autoSpaceDN/>
        <w:bidi w:val="0"/>
        <w:adjustRightInd/>
        <w:snapToGrid/>
        <w:spacing w:line="420" w:lineRule="exact"/>
        <w:ind w:firstLine="707" w:firstLineChars="221"/>
        <w:jc w:val="left"/>
        <w:textAlignment w:val="auto"/>
        <w:rPr>
          <w:rFonts w:ascii="仿宋_GB2312" w:hAnsi="Times New Roman" w:eastAsia="仿宋_GB2312" w:cs="楷体_GB2312"/>
          <w:sz w:val="32"/>
          <w:szCs w:val="32"/>
        </w:rPr>
      </w:pPr>
      <w:r>
        <w:rPr>
          <w:rFonts w:hint="eastAsia" w:ascii="仿宋_GB2312" w:hAnsi="Times New Roman" w:eastAsia="仿宋_GB2312" w:cs="楷体_GB2312"/>
          <w:sz w:val="32"/>
          <w:szCs w:val="32"/>
        </w:rPr>
        <w:t>本案于</w:t>
      </w:r>
      <w:r>
        <w:rPr>
          <w:rFonts w:hint="eastAsia" w:ascii="仿宋_GB2312" w:hAnsi="Times New Roman" w:eastAsia="仿宋_GB2312" w:cs="楷体_GB2312"/>
          <w:sz w:val="32"/>
          <w:szCs w:val="32"/>
          <w:lang w:val="en-US" w:eastAsia="zh-CN"/>
        </w:rPr>
        <w:t>2026</w:t>
      </w:r>
      <w:r>
        <w:rPr>
          <w:rFonts w:hint="eastAsia" w:ascii="仿宋_GB2312" w:hAnsi="Times New Roman" w:eastAsia="仿宋_GB2312" w:cs="楷体_GB2312"/>
          <w:sz w:val="32"/>
          <w:szCs w:val="32"/>
        </w:rPr>
        <w:t>年</w:t>
      </w:r>
      <w:r>
        <w:rPr>
          <w:rFonts w:hint="eastAsia" w:ascii="仿宋_GB2312" w:hAnsi="Times New Roman" w:eastAsia="仿宋_GB2312" w:cs="楷体_GB2312"/>
          <w:sz w:val="32"/>
          <w:szCs w:val="32"/>
          <w:lang w:val="en-US" w:eastAsia="zh-CN"/>
        </w:rPr>
        <w:t>2</w:t>
      </w:r>
      <w:r>
        <w:rPr>
          <w:rFonts w:hint="eastAsia" w:ascii="仿宋_GB2312" w:hAnsi="Times New Roman" w:eastAsia="仿宋_GB2312" w:cs="楷体_GB2312"/>
          <w:sz w:val="32"/>
          <w:szCs w:val="32"/>
        </w:rPr>
        <w:t>月</w:t>
      </w:r>
      <w:r>
        <w:rPr>
          <w:rFonts w:hint="eastAsia" w:ascii="仿宋_GB2312" w:hAnsi="Times New Roman" w:eastAsia="仿宋_GB2312" w:cs="楷体_GB2312"/>
          <w:sz w:val="32"/>
          <w:szCs w:val="32"/>
          <w:lang w:val="en-US" w:eastAsia="zh-CN"/>
        </w:rPr>
        <w:t>10</w:t>
      </w:r>
      <w:r>
        <w:rPr>
          <w:rFonts w:hint="eastAsia" w:ascii="仿宋_GB2312" w:hAnsi="Times New Roman" w:eastAsia="仿宋_GB2312" w:cs="楷体_GB2312"/>
          <w:sz w:val="32"/>
          <w:szCs w:val="32"/>
        </w:rPr>
        <w:t>日至</w:t>
      </w:r>
      <w:r>
        <w:rPr>
          <w:rFonts w:hint="eastAsia" w:ascii="仿宋_GB2312" w:hAnsi="Times New Roman" w:eastAsia="仿宋_GB2312" w:cs="楷体_GB2312"/>
          <w:sz w:val="32"/>
          <w:szCs w:val="32"/>
          <w:lang w:val="en-US" w:eastAsia="zh-CN"/>
        </w:rPr>
        <w:t>2026</w:t>
      </w:r>
      <w:r>
        <w:rPr>
          <w:rFonts w:hint="eastAsia" w:ascii="仿宋_GB2312" w:hAnsi="Times New Roman" w:eastAsia="仿宋_GB2312" w:cs="楷体_GB2312"/>
          <w:sz w:val="32"/>
          <w:szCs w:val="32"/>
        </w:rPr>
        <w:t>年</w:t>
      </w:r>
      <w:r>
        <w:rPr>
          <w:rFonts w:hint="eastAsia" w:ascii="仿宋_GB2312" w:hAnsi="Times New Roman" w:eastAsia="仿宋_GB2312" w:cs="楷体_GB2312"/>
          <w:sz w:val="32"/>
          <w:szCs w:val="32"/>
          <w:lang w:val="en-US" w:eastAsia="zh-CN"/>
        </w:rPr>
        <w:t>2</w:t>
      </w:r>
      <w:r>
        <w:rPr>
          <w:rFonts w:hint="eastAsia" w:ascii="仿宋_GB2312" w:hAnsi="Times New Roman" w:eastAsia="仿宋_GB2312" w:cs="楷体_GB2312"/>
          <w:sz w:val="32"/>
          <w:szCs w:val="32"/>
        </w:rPr>
        <w:t>月</w:t>
      </w:r>
      <w:r>
        <w:rPr>
          <w:rFonts w:hint="eastAsia" w:ascii="仿宋_GB2312" w:hAnsi="Times New Roman" w:eastAsia="仿宋_GB2312" w:cs="楷体_GB2312"/>
          <w:sz w:val="32"/>
          <w:szCs w:val="32"/>
          <w:lang w:val="en-US" w:eastAsia="zh-CN"/>
        </w:rPr>
        <w:t>14</w:t>
      </w:r>
      <w:r>
        <w:rPr>
          <w:rFonts w:hint="eastAsia" w:ascii="仿宋_GB2312" w:hAnsi="Times New Roman" w:eastAsia="仿宋_GB2312" w:cs="楷体_GB2312"/>
          <w:sz w:val="32"/>
          <w:szCs w:val="32"/>
        </w:rPr>
        <w:t>日在狱内公示未收到不同意见。</w:t>
      </w:r>
    </w:p>
    <w:p>
      <w:pPr>
        <w:keepNext w:val="0"/>
        <w:keepLines w:val="0"/>
        <w:pageBreakBefore w:val="0"/>
        <w:widowControl w:val="0"/>
        <w:kinsoku/>
        <w:wordWrap/>
        <w:overflowPunct/>
        <w:topLinePunct w:val="0"/>
        <w:autoSpaceDE/>
        <w:autoSpaceDN/>
        <w:bidi w:val="0"/>
        <w:adjustRightInd/>
        <w:snapToGrid/>
        <w:spacing w:line="420" w:lineRule="exact"/>
        <w:ind w:firstLine="640" w:firstLineChars="200"/>
        <w:jc w:val="left"/>
        <w:textAlignment w:val="auto"/>
        <w:rPr>
          <w:rFonts w:ascii="仿宋_GB2312" w:hAnsi="Times New Roman" w:eastAsia="仿宋_GB2312" w:cs="楷体_GB2312"/>
          <w:sz w:val="32"/>
          <w:szCs w:val="32"/>
        </w:rPr>
      </w:pPr>
      <w:r>
        <w:rPr>
          <w:rFonts w:hint="eastAsia" w:ascii="仿宋_GB2312" w:hAnsi="Times New Roman" w:eastAsia="仿宋_GB2312" w:cs="楷体_GB2312"/>
          <w:sz w:val="32"/>
          <w:szCs w:val="32"/>
        </w:rPr>
        <w:t>因此，依照《中华人民共和国刑法》第七十八条、第七十九条《中华人民共和国刑事诉讼法》第二百七十三条第二款、《中华人民共和国监狱法》第二十九条的规定，建议对罪犯李永耀予以减刑八个月，剥夺政治权利九年不变。特提请你院审理裁定。</w:t>
      </w:r>
    </w:p>
    <w:p>
      <w:pPr>
        <w:keepNext w:val="0"/>
        <w:keepLines w:val="0"/>
        <w:pageBreakBefore w:val="0"/>
        <w:widowControl w:val="0"/>
        <w:kinsoku/>
        <w:wordWrap/>
        <w:overflowPunct/>
        <w:topLinePunct w:val="0"/>
        <w:autoSpaceDE/>
        <w:autoSpaceDN/>
        <w:bidi w:val="0"/>
        <w:adjustRightInd/>
        <w:snapToGrid/>
        <w:spacing w:line="420" w:lineRule="exact"/>
        <w:ind w:firstLine="707" w:firstLineChars="221"/>
        <w:jc w:val="left"/>
        <w:textAlignment w:val="auto"/>
        <w:rPr>
          <w:rFonts w:ascii="仿宋_GB2312" w:hAnsi="Times New Roman" w:eastAsia="仿宋_GB2312" w:cs="楷体_GB2312"/>
          <w:sz w:val="32"/>
          <w:szCs w:val="32"/>
        </w:rPr>
      </w:pPr>
      <w:r>
        <w:rPr>
          <w:rFonts w:ascii="仿宋_GB2312" w:hAnsi="Times New Roman" w:eastAsia="仿宋_GB2312" w:cs="楷体_GB2312"/>
          <w:sz w:val="32"/>
          <w:szCs w:val="32"/>
        </w:rPr>
        <w:t>此致</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福建省漳州市中级人民法院</w:t>
      </w:r>
    </w:p>
    <w:p>
      <w:pPr>
        <w:keepNext w:val="0"/>
        <w:keepLines w:val="0"/>
        <w:pageBreakBefore w:val="0"/>
        <w:widowControl w:val="0"/>
        <w:kinsoku/>
        <w:wordWrap/>
        <w:overflowPunct/>
        <w:topLinePunct w:val="0"/>
        <w:autoSpaceDE/>
        <w:autoSpaceDN/>
        <w:bidi w:val="0"/>
        <w:adjustRightInd/>
        <w:snapToGrid/>
        <w:spacing w:line="42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附件：⒈罪犯李永耀卷宗</w:t>
      </w: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册</w:t>
      </w:r>
    </w:p>
    <w:p>
      <w:pPr>
        <w:keepNext w:val="0"/>
        <w:keepLines w:val="0"/>
        <w:pageBreakBefore w:val="0"/>
        <w:widowControl w:val="0"/>
        <w:kinsoku/>
        <w:wordWrap/>
        <w:overflowPunct/>
        <w:topLinePunct w:val="0"/>
        <w:autoSpaceDE/>
        <w:autoSpaceDN/>
        <w:bidi w:val="0"/>
        <w:adjustRightInd/>
        <w:snapToGrid/>
        <w:spacing w:line="420" w:lineRule="exact"/>
        <w:ind w:right="-31" w:rightChars="-15" w:firstLine="1600" w:firstLineChars="5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⒉减刑建议书</w:t>
      </w: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份</w:t>
      </w:r>
    </w:p>
    <w:p>
      <w:pPr>
        <w:keepNext w:val="0"/>
        <w:keepLines w:val="0"/>
        <w:pageBreakBefore w:val="0"/>
        <w:widowControl w:val="0"/>
        <w:kinsoku/>
        <w:wordWrap/>
        <w:overflowPunct/>
        <w:topLinePunct w:val="0"/>
        <w:autoSpaceDE/>
        <w:autoSpaceDN/>
        <w:bidi w:val="0"/>
        <w:adjustRightInd/>
        <w:spacing w:line="420" w:lineRule="exact"/>
        <w:ind w:right="334" w:rightChars="159" w:firstLine="614" w:firstLineChars="192"/>
        <w:jc w:val="righ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福建省漳州监狱 </w:t>
      </w:r>
    </w:p>
    <w:p>
      <w:pPr>
        <w:keepNext w:val="0"/>
        <w:keepLines w:val="0"/>
        <w:pageBreakBefore w:val="0"/>
        <w:widowControl w:val="0"/>
        <w:kinsoku/>
        <w:wordWrap/>
        <w:overflowPunct/>
        <w:topLinePunct w:val="0"/>
        <w:autoSpaceDE/>
        <w:autoSpaceDN/>
        <w:bidi w:val="0"/>
        <w:adjustRightInd/>
        <w:spacing w:line="420" w:lineRule="exact"/>
        <w:ind w:right="84" w:rightChars="40"/>
        <w:jc w:val="right"/>
        <w:textAlignment w:val="auto"/>
        <w:rPr>
          <w:rFonts w:ascii="仿宋_GB2312" w:hAnsi="仿宋_GB2312" w:eastAsia="仿宋_GB2312" w:cs="仿宋_GB2312"/>
          <w:sz w:val="32"/>
          <w:szCs w:val="32"/>
        </w:rPr>
        <w:sectPr>
          <w:headerReference r:id="rId3" w:type="default"/>
          <w:type w:val="continuous"/>
          <w:pgSz w:w="11906" w:h="16838"/>
          <w:pgMar w:top="1871" w:right="1304" w:bottom="1871" w:left="1587" w:header="851" w:footer="992" w:gutter="0"/>
          <w:cols w:space="425" w:num="1"/>
          <w:docGrid w:type="lines" w:linePitch="312" w:charSpace="0"/>
        </w:sect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2026</w:t>
      </w:r>
      <w:r>
        <w:rPr>
          <w:rFonts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2</w:t>
      </w:r>
      <w:r>
        <w:rPr>
          <w:rFonts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24日</w:t>
      </w:r>
    </w:p>
    <w:p>
      <w:pPr>
        <w:spacing w:line="480" w:lineRule="exact"/>
        <w:ind w:right="84" w:rightChars="40"/>
        <w:jc w:val="both"/>
        <w:rPr>
          <w:rFonts w:ascii="仿宋_GB2312" w:hAnsi="仿宋_GB2312" w:eastAsia="仿宋_GB2312" w:cs="仿宋_GB2312"/>
          <w:sz w:val="32"/>
          <w:szCs w:val="32"/>
        </w:rPr>
      </w:pPr>
    </w:p>
    <w:sectPr>
      <w:type w:val="continuous"/>
      <w:pgSz w:w="11906" w:h="16838"/>
      <w:pgMar w:top="1701" w:right="1304" w:bottom="1588"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FangSong_GB2312-Identity-H">
    <w:altName w:val="宋体"/>
    <w:panose1 w:val="00000000000000000000"/>
    <w:charset w:val="86"/>
    <w:family w:val="auto"/>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jc w:val="left"/>
      <w:rPr>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906A56"/>
    <w:rsid w:val="00000E3F"/>
    <w:rsid w:val="00014C6E"/>
    <w:rsid w:val="000413B7"/>
    <w:rsid w:val="00043932"/>
    <w:rsid w:val="00064C41"/>
    <w:rsid w:val="0009546F"/>
    <w:rsid w:val="000B2F6B"/>
    <w:rsid w:val="000C6F0C"/>
    <w:rsid w:val="000D522C"/>
    <w:rsid w:val="000E3AB0"/>
    <w:rsid w:val="0010100B"/>
    <w:rsid w:val="00110C40"/>
    <w:rsid w:val="001114BB"/>
    <w:rsid w:val="00141F95"/>
    <w:rsid w:val="0014550A"/>
    <w:rsid w:val="00146FB2"/>
    <w:rsid w:val="00156B3C"/>
    <w:rsid w:val="001614A1"/>
    <w:rsid w:val="001667D3"/>
    <w:rsid w:val="00166A79"/>
    <w:rsid w:val="00175421"/>
    <w:rsid w:val="0019204E"/>
    <w:rsid w:val="00196881"/>
    <w:rsid w:val="001A208C"/>
    <w:rsid w:val="001C1984"/>
    <w:rsid w:val="001C558F"/>
    <w:rsid w:val="001D4A01"/>
    <w:rsid w:val="001D581B"/>
    <w:rsid w:val="001E4419"/>
    <w:rsid w:val="00205C0C"/>
    <w:rsid w:val="00216B74"/>
    <w:rsid w:val="00234DF9"/>
    <w:rsid w:val="0023706C"/>
    <w:rsid w:val="00242A8B"/>
    <w:rsid w:val="00262354"/>
    <w:rsid w:val="002C6B1B"/>
    <w:rsid w:val="002D7144"/>
    <w:rsid w:val="002E0E77"/>
    <w:rsid w:val="002F1634"/>
    <w:rsid w:val="002F44DC"/>
    <w:rsid w:val="00326A8E"/>
    <w:rsid w:val="00327266"/>
    <w:rsid w:val="003504D8"/>
    <w:rsid w:val="00371501"/>
    <w:rsid w:val="003A1C90"/>
    <w:rsid w:val="003A2E7C"/>
    <w:rsid w:val="003C69B5"/>
    <w:rsid w:val="00434EF1"/>
    <w:rsid w:val="00445F89"/>
    <w:rsid w:val="00447AD7"/>
    <w:rsid w:val="00473D50"/>
    <w:rsid w:val="004F5C73"/>
    <w:rsid w:val="00514F48"/>
    <w:rsid w:val="00544E19"/>
    <w:rsid w:val="00564373"/>
    <w:rsid w:val="00564F27"/>
    <w:rsid w:val="00572C11"/>
    <w:rsid w:val="00585224"/>
    <w:rsid w:val="00592D84"/>
    <w:rsid w:val="00595957"/>
    <w:rsid w:val="005A5524"/>
    <w:rsid w:val="005B18F4"/>
    <w:rsid w:val="005D1F11"/>
    <w:rsid w:val="005D6E6E"/>
    <w:rsid w:val="005E50B3"/>
    <w:rsid w:val="005E657B"/>
    <w:rsid w:val="00600A39"/>
    <w:rsid w:val="006043FA"/>
    <w:rsid w:val="00620B43"/>
    <w:rsid w:val="00622CAC"/>
    <w:rsid w:val="00630FC3"/>
    <w:rsid w:val="006369A6"/>
    <w:rsid w:val="00687559"/>
    <w:rsid w:val="00695D9E"/>
    <w:rsid w:val="006F12DA"/>
    <w:rsid w:val="00703AB6"/>
    <w:rsid w:val="007040C8"/>
    <w:rsid w:val="00704FCC"/>
    <w:rsid w:val="007219B2"/>
    <w:rsid w:val="00722993"/>
    <w:rsid w:val="00726E36"/>
    <w:rsid w:val="007314B7"/>
    <w:rsid w:val="00735500"/>
    <w:rsid w:val="0076436B"/>
    <w:rsid w:val="007726E8"/>
    <w:rsid w:val="0077782F"/>
    <w:rsid w:val="00783AC9"/>
    <w:rsid w:val="007A5D53"/>
    <w:rsid w:val="007C305A"/>
    <w:rsid w:val="007C4D31"/>
    <w:rsid w:val="007D67F3"/>
    <w:rsid w:val="007F3C82"/>
    <w:rsid w:val="007F4FDE"/>
    <w:rsid w:val="00811EC1"/>
    <w:rsid w:val="008328BF"/>
    <w:rsid w:val="008472CB"/>
    <w:rsid w:val="00851F82"/>
    <w:rsid w:val="008535B6"/>
    <w:rsid w:val="008807E9"/>
    <w:rsid w:val="008D0331"/>
    <w:rsid w:val="008E2BDC"/>
    <w:rsid w:val="008F2577"/>
    <w:rsid w:val="008F29BD"/>
    <w:rsid w:val="00902941"/>
    <w:rsid w:val="00904C6B"/>
    <w:rsid w:val="00945EF0"/>
    <w:rsid w:val="00946B2C"/>
    <w:rsid w:val="00961ED0"/>
    <w:rsid w:val="00975586"/>
    <w:rsid w:val="009835EE"/>
    <w:rsid w:val="00985E2F"/>
    <w:rsid w:val="009869FE"/>
    <w:rsid w:val="009A2536"/>
    <w:rsid w:val="009A3456"/>
    <w:rsid w:val="009A66BF"/>
    <w:rsid w:val="009B2E1E"/>
    <w:rsid w:val="009C419F"/>
    <w:rsid w:val="009D50AB"/>
    <w:rsid w:val="009D7EB6"/>
    <w:rsid w:val="009E153A"/>
    <w:rsid w:val="00A00A07"/>
    <w:rsid w:val="00A11FE2"/>
    <w:rsid w:val="00A277E3"/>
    <w:rsid w:val="00A366C3"/>
    <w:rsid w:val="00A44897"/>
    <w:rsid w:val="00A740F9"/>
    <w:rsid w:val="00AA3A9D"/>
    <w:rsid w:val="00AB0CEF"/>
    <w:rsid w:val="00AD1A8C"/>
    <w:rsid w:val="00AF50AB"/>
    <w:rsid w:val="00B000AC"/>
    <w:rsid w:val="00B15C0D"/>
    <w:rsid w:val="00B50C4A"/>
    <w:rsid w:val="00B71565"/>
    <w:rsid w:val="00B80C93"/>
    <w:rsid w:val="00B85A93"/>
    <w:rsid w:val="00B92BE7"/>
    <w:rsid w:val="00B97283"/>
    <w:rsid w:val="00BB6CBE"/>
    <w:rsid w:val="00BC750A"/>
    <w:rsid w:val="00BD4E1B"/>
    <w:rsid w:val="00BE79AD"/>
    <w:rsid w:val="00BF7952"/>
    <w:rsid w:val="00C23EF6"/>
    <w:rsid w:val="00C307D4"/>
    <w:rsid w:val="00C40344"/>
    <w:rsid w:val="00C672E0"/>
    <w:rsid w:val="00C846FA"/>
    <w:rsid w:val="00C96254"/>
    <w:rsid w:val="00CA2788"/>
    <w:rsid w:val="00CB08B8"/>
    <w:rsid w:val="00CC3B00"/>
    <w:rsid w:val="00D054EC"/>
    <w:rsid w:val="00D1695A"/>
    <w:rsid w:val="00D4550B"/>
    <w:rsid w:val="00D80C03"/>
    <w:rsid w:val="00D82CA2"/>
    <w:rsid w:val="00D947D2"/>
    <w:rsid w:val="00D95F71"/>
    <w:rsid w:val="00DA181B"/>
    <w:rsid w:val="00DB4E3A"/>
    <w:rsid w:val="00DC3EC0"/>
    <w:rsid w:val="00DC5466"/>
    <w:rsid w:val="00DD2AC7"/>
    <w:rsid w:val="00DD7F30"/>
    <w:rsid w:val="00E149F0"/>
    <w:rsid w:val="00E21386"/>
    <w:rsid w:val="00E22387"/>
    <w:rsid w:val="00E30BCF"/>
    <w:rsid w:val="00E516E6"/>
    <w:rsid w:val="00E83872"/>
    <w:rsid w:val="00E85165"/>
    <w:rsid w:val="00E86CA5"/>
    <w:rsid w:val="00EA46EB"/>
    <w:rsid w:val="00EB32C3"/>
    <w:rsid w:val="00EC79D4"/>
    <w:rsid w:val="00EF3773"/>
    <w:rsid w:val="00EF48D1"/>
    <w:rsid w:val="00F0223C"/>
    <w:rsid w:val="00F036DE"/>
    <w:rsid w:val="00F15FD3"/>
    <w:rsid w:val="00F16591"/>
    <w:rsid w:val="00F6520A"/>
    <w:rsid w:val="00F77BB3"/>
    <w:rsid w:val="00F87C3B"/>
    <w:rsid w:val="00FC62F7"/>
    <w:rsid w:val="00FD7307"/>
    <w:rsid w:val="00FE2DA1"/>
    <w:rsid w:val="00FF06AD"/>
    <w:rsid w:val="041A56B1"/>
    <w:rsid w:val="0FC83354"/>
    <w:rsid w:val="15DB0276"/>
    <w:rsid w:val="265E2281"/>
    <w:rsid w:val="47D0122B"/>
    <w:rsid w:val="56AD524F"/>
    <w:rsid w:val="5E906A56"/>
    <w:rsid w:val="6AF25D75"/>
    <w:rsid w:val="70076F4F"/>
    <w:rsid w:val="74BD9A8E"/>
    <w:rsid w:val="79F5BEA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0"/>
  </w:style>
  <w:style w:type="paragraph" w:styleId="3">
    <w:name w:val="Balloon Text"/>
    <w:basedOn w:val="1"/>
    <w:link w:val="9"/>
    <w:semiHidden/>
    <w:unhideWhenUsed/>
    <w:qFormat/>
    <w:uiPriority w:val="0"/>
    <w:rPr>
      <w:sz w:val="18"/>
      <w:szCs w:val="18"/>
    </w:rPr>
  </w:style>
  <w:style w:type="paragraph" w:styleId="4">
    <w:name w:val="footer"/>
    <w:basedOn w:val="1"/>
    <w:link w:val="11"/>
    <w:unhideWhenUsed/>
    <w:qFormat/>
    <w:uiPriority w:val="0"/>
    <w:pPr>
      <w:tabs>
        <w:tab w:val="center" w:pos="4153"/>
        <w:tab w:val="right" w:pos="8306"/>
      </w:tabs>
      <w:snapToGrid w:val="0"/>
      <w:jc w:val="left"/>
    </w:pPr>
    <w:rPr>
      <w:sz w:val="18"/>
      <w:szCs w:val="18"/>
    </w:rPr>
  </w:style>
  <w:style w:type="paragraph" w:styleId="5">
    <w:name w:val="header"/>
    <w:basedOn w:val="1"/>
    <w:link w:val="10"/>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font21"/>
    <w:basedOn w:val="7"/>
    <w:qFormat/>
    <w:uiPriority w:val="0"/>
    <w:rPr>
      <w:rFonts w:hint="eastAsia" w:ascii="仿宋_GB2312" w:eastAsia="仿宋_GB2312" w:cs="仿宋_GB2312"/>
      <w:color w:val="000000"/>
      <w:sz w:val="32"/>
      <w:szCs w:val="32"/>
      <w:u w:val="none"/>
    </w:rPr>
  </w:style>
  <w:style w:type="character" w:customStyle="1" w:styleId="9">
    <w:name w:val="批注框文本 Char"/>
    <w:basedOn w:val="7"/>
    <w:link w:val="3"/>
    <w:semiHidden/>
    <w:qFormat/>
    <w:uiPriority w:val="0"/>
    <w:rPr>
      <w:kern w:val="2"/>
      <w:sz w:val="18"/>
      <w:szCs w:val="18"/>
    </w:rPr>
  </w:style>
  <w:style w:type="character" w:customStyle="1" w:styleId="10">
    <w:name w:val="页眉 Char"/>
    <w:basedOn w:val="7"/>
    <w:link w:val="5"/>
    <w:qFormat/>
    <w:uiPriority w:val="0"/>
    <w:rPr>
      <w:kern w:val="2"/>
      <w:sz w:val="18"/>
      <w:szCs w:val="18"/>
    </w:rPr>
  </w:style>
  <w:style w:type="character" w:customStyle="1" w:styleId="11">
    <w:name w:val="页脚 Char"/>
    <w:basedOn w:val="7"/>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 Version="0" SelectedStyle=""/>
</file>

<file path=customXml/itemProps1.xml><?xml version="1.0" encoding="utf-8"?>
<ds:datastoreItem xmlns:ds="http://schemas.openxmlformats.org/officeDocument/2006/customXml" ds:itemID="{88D2299C-F9CE-4B24-BCC3-E00236636A84}">
  <ds:schemaRefs/>
</ds:datastoreItem>
</file>

<file path=docProps/app.xml><?xml version="1.0" encoding="utf-8"?>
<Properties xmlns="http://schemas.openxmlformats.org/officeDocument/2006/extended-properties" xmlns:vt="http://schemas.openxmlformats.org/officeDocument/2006/docPropsVTypes">
  <Template>Normal.dotm</Template>
  <Pages>2</Pages>
  <Words>236</Words>
  <Characters>1346</Characters>
  <Lines>11</Lines>
  <Paragraphs>3</Paragraphs>
  <TotalTime>4</TotalTime>
  <ScaleCrop>false</ScaleCrop>
  <LinksUpToDate>false</LinksUpToDate>
  <CharactersWithSpaces>1579</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2026-01-07T18:51:00Z</dcterms:created>
  <dc:creator>Administrator</dc:creator>
  <cp:lastModifiedBy>uosuser</cp:lastModifiedBy>
  <dcterms:modified xsi:type="dcterms:W3CDTF">2026-02-27T16:02:56Z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DF123B376BEA4BB19E531B3554BC1A96</vt:lpwstr>
  </property>
</Properties>
</file>