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39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罪犯魏艺铭</w:t>
      </w:r>
      <w:r>
        <w:rPr>
          <w:rFonts w:hint="eastAsia" w:ascii="仿宋_GB2312" w:hAnsi="Times New Roman" w:cs="Times New Roman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szCs w:val="32"/>
          <w:lang w:eastAsia="zh-CN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1993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日出生，汉族，初中文化，住福建省安溪县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eastAsia="zh-CN"/>
        </w:rPr>
        <w:t>，捕前系经商。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福建省安溪县人民法院于20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）闽</w:t>
      </w:r>
      <w:r>
        <w:rPr>
          <w:rFonts w:hint="eastAsia" w:ascii="仿宋_GB2312" w:hAnsi="Times New Roman" w:cs="Times New Roman"/>
          <w:szCs w:val="32"/>
          <w:lang w:val="en-US" w:eastAsia="zh-CN"/>
        </w:rPr>
        <w:t>0524</w:t>
      </w:r>
      <w:r>
        <w:rPr>
          <w:rFonts w:hint="eastAsia" w:ascii="仿宋_GB2312" w:hAnsi="Times New Roman" w:cs="Times New Roman"/>
          <w:szCs w:val="32"/>
          <w:lang w:eastAsia="zh-CN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436</w:t>
      </w:r>
      <w:r>
        <w:rPr>
          <w:rFonts w:hint="eastAsia" w:ascii="仿宋_GB2312" w:hAnsi="Times New Roman" w:cs="Times New Roman"/>
          <w:szCs w:val="32"/>
          <w:lang w:eastAsia="zh-CN"/>
        </w:rPr>
        <w:t>号刑事判决，以被告人魏艺铭犯开设赌场罪，判处有期徒刑二年八个月，并处罚金人民币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35000</w:t>
      </w:r>
      <w:r>
        <w:rPr>
          <w:rFonts w:hint="eastAsia" w:ascii="仿宋_GB2312" w:hAnsi="Times New Roman" w:cs="Times New Roman"/>
          <w:szCs w:val="32"/>
          <w:lang w:eastAsia="zh-CN"/>
        </w:rPr>
        <w:t>元，</w:t>
      </w:r>
      <w:r>
        <w:rPr>
          <w:rFonts w:hint="eastAsia" w:ascii="仿宋_GB2312" w:hAnsi="Times New Roman" w:cs="Times New Roman"/>
          <w:szCs w:val="32"/>
          <w:lang w:val="en-US" w:eastAsia="zh-CN"/>
        </w:rPr>
        <w:t>追缴违法所得人民币15000元，予以没收，上缴国库。</w:t>
      </w:r>
      <w:r>
        <w:rPr>
          <w:rFonts w:hint="eastAsia" w:ascii="仿宋_GB2312" w:hAnsi="Times New Roman" w:cs="Times New Roman"/>
          <w:szCs w:val="32"/>
          <w:lang w:eastAsia="zh-CN"/>
        </w:rPr>
        <w:t>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eastAsia="zh-CN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</w:t>
      </w:r>
      <w:r>
        <w:rPr>
          <w:rFonts w:hint="eastAsia" w:ascii="仿宋_GB2312" w:hAnsi="Times New Roman" w:cs="Times New Roman"/>
          <w:szCs w:val="32"/>
          <w:lang w:eastAsia="zh-CN"/>
        </w:rPr>
        <w:t>该犯考核期2024年6月25日至2025年11月累计获考核分1599.1分，表扬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eastAsia="zh-CN"/>
        </w:rPr>
        <w:t>次；考核期内无违规扣分。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原判财产性判项罚金人民币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35000元，追缴违法所得人民币15000元</w:t>
      </w:r>
      <w:r>
        <w:rPr>
          <w:rFonts w:hint="eastAsia" w:ascii="仿宋_GB2312" w:cs="Times New Roman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已履行完毕。其中本次提请向福建省安溪县人民法院缴纳罚金人民币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35000元，违法所得人民币15000元。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本案于2026年2月10日至2026年2月14日在狱内公示</w:t>
      </w:r>
      <w:r>
        <w:rPr>
          <w:rFonts w:hint="eastAsia" w:ascii="仿宋_GB2312" w:hAnsi="Times New Roman" w:cs="Times New Roman"/>
          <w:szCs w:val="32"/>
          <w:lang w:eastAsia="zh-CN"/>
        </w:rPr>
        <w:t>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cs="Times New Roman"/>
          <w:szCs w:val="32"/>
          <w:lang w:eastAsia="zh-CN"/>
        </w:rPr>
        <w:t>魏艺铭</w:t>
      </w:r>
      <w:r>
        <w:rPr>
          <w:rFonts w:hint="eastAsia" w:ascii="仿宋_GB2312" w:hAnsi="Times New Roman" w:cs="Times New Roman"/>
          <w:szCs w:val="32"/>
          <w:lang w:eastAsia="zh-CN"/>
        </w:rPr>
        <w:t>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魏艺铭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2026年2月24日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833CCC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DD56615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C920070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0E3206"/>
    <w:rsid w:val="49FD60CF"/>
    <w:rsid w:val="4A937854"/>
    <w:rsid w:val="4C0C55BD"/>
    <w:rsid w:val="4CAA121D"/>
    <w:rsid w:val="4DBE49B0"/>
    <w:rsid w:val="4DF504D5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4CD0183"/>
    <w:rsid w:val="580E6335"/>
    <w:rsid w:val="5C7D3B00"/>
    <w:rsid w:val="5D2B27E7"/>
    <w:rsid w:val="5E686103"/>
    <w:rsid w:val="5EB78031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BE16D59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EA5274C"/>
    <w:rsid w:val="E9758A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1</TotalTime>
  <ScaleCrop>false</ScaleCrop>
  <LinksUpToDate>false</LinksUpToDate>
  <CharactersWithSpaces>1331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uosuser</cp:lastModifiedBy>
  <cp:lastPrinted>2026-01-10T23:26:00Z</cp:lastPrinted>
  <dcterms:modified xsi:type="dcterms:W3CDTF">2026-02-27T16:56:26Z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