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黄洁彬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户籍所在地福建省漳浦县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福建省晋江市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0582刑初1214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黄洁彬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100000元，继续追缴违法所得人民币130000元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该犯考核期2022年9月20日至2025年11月累计获考核分3903.4分，表扬6次；考核期内无违规扣分。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100000元，已履行人民币32973元；违法所得人民币130000元，已履行人民币40000元；其中本次提请向福建省晋江市人民法院缴纳罚金人民币32973元，违法所得人民币40000元。服刑期间财产刑履行比例为31.7%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263.69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621.17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2025年7月17日福建省晋江市人民法院财产性判项复函载明：查无被执行人其他可供执行财产。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黄洁彬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黄洁彬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6B300A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8030E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1E508D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B973C44"/>
    <w:rsid w:val="6E5724CC"/>
    <w:rsid w:val="6FA16DDA"/>
    <w:rsid w:val="71277157"/>
    <w:rsid w:val="71743704"/>
    <w:rsid w:val="73991756"/>
    <w:rsid w:val="73AB002E"/>
    <w:rsid w:val="74076CE0"/>
    <w:rsid w:val="756F22BE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624</Words>
  <Characters>209</Characters>
  <Lines>1</Lines>
  <Paragraphs>1</Paragraphs>
  <TotalTime>9</TotalTime>
  <ScaleCrop>false</ScaleCrop>
  <LinksUpToDate>false</LinksUpToDate>
  <CharactersWithSpaces>832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2026-02-27T15:41:01Z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